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1D5" w:rsidRPr="00932C08" w:rsidRDefault="000E1A48" w:rsidP="00150BE3">
      <w:pPr>
        <w:pStyle w:val="Title"/>
        <w:jc w:val="center"/>
        <w:rPr>
          <w:sz w:val="28"/>
          <w:szCs w:val="28"/>
        </w:rPr>
      </w:pPr>
      <w:r w:rsidRPr="000E1A48">
        <w:rPr>
          <w:sz w:val="28"/>
          <w:szCs w:val="28"/>
        </w:rPr>
        <w:t>H</w:t>
      </w:r>
      <w:r w:rsidR="006B1984" w:rsidRPr="000E1A48">
        <w:rPr>
          <w:sz w:val="28"/>
          <w:szCs w:val="28"/>
        </w:rPr>
        <w:t xml:space="preserve">aemocompatibility </w:t>
      </w:r>
      <w:r w:rsidRPr="000E1A48">
        <w:rPr>
          <w:sz w:val="28"/>
          <w:szCs w:val="28"/>
        </w:rPr>
        <w:t>assessment</w:t>
      </w:r>
      <w:r>
        <w:rPr>
          <w:sz w:val="28"/>
          <w:szCs w:val="28"/>
        </w:rPr>
        <w:t>s</w:t>
      </w:r>
      <w:r w:rsidR="002427EF" w:rsidRPr="000E1A48">
        <w:rPr>
          <w:sz w:val="28"/>
          <w:szCs w:val="28"/>
        </w:rPr>
        <w:t xml:space="preserve"> </w:t>
      </w:r>
      <w:r w:rsidR="006B1984" w:rsidRPr="000E1A48">
        <w:rPr>
          <w:sz w:val="28"/>
          <w:szCs w:val="28"/>
        </w:rPr>
        <w:t xml:space="preserve">of </w:t>
      </w:r>
      <w:r>
        <w:rPr>
          <w:sz w:val="28"/>
          <w:szCs w:val="28"/>
        </w:rPr>
        <w:t xml:space="preserve">an </w:t>
      </w:r>
      <w:r w:rsidR="006B1984" w:rsidRPr="000E1A48">
        <w:rPr>
          <w:sz w:val="28"/>
          <w:szCs w:val="28"/>
        </w:rPr>
        <w:t>activated carbon monolith</w:t>
      </w:r>
      <w:r w:rsidRPr="000E1A48">
        <w:rPr>
          <w:sz w:val="28"/>
          <w:szCs w:val="28"/>
        </w:rPr>
        <w:t xml:space="preserve"> in</w:t>
      </w:r>
      <w:r>
        <w:rPr>
          <w:sz w:val="28"/>
          <w:szCs w:val="28"/>
        </w:rPr>
        <w:t xml:space="preserve"> small scale </w:t>
      </w:r>
      <w:r w:rsidRPr="000E1A48">
        <w:rPr>
          <w:i/>
          <w:sz w:val="28"/>
          <w:szCs w:val="28"/>
        </w:rPr>
        <w:t>ex vivo</w:t>
      </w:r>
      <w:r>
        <w:rPr>
          <w:sz w:val="28"/>
          <w:szCs w:val="28"/>
        </w:rPr>
        <w:t xml:space="preserve"> model</w:t>
      </w:r>
    </w:p>
    <w:p w:rsidR="000E1A48" w:rsidRDefault="000E1A48" w:rsidP="000E1A48">
      <w:pPr>
        <w:pStyle w:val="Heading1"/>
        <w:numPr>
          <w:ilvl w:val="0"/>
          <w:numId w:val="0"/>
        </w:numPr>
        <w:ind w:left="432"/>
      </w:pPr>
      <w:r>
        <w:t>Abstract</w:t>
      </w:r>
    </w:p>
    <w:p w:rsidR="00914010" w:rsidRPr="000E1A48" w:rsidRDefault="00914010" w:rsidP="00914010">
      <w:r w:rsidRPr="000E1A48">
        <w:t xml:space="preserve">Techniques such as haemodialysis and peritoneal dialysis are life-saving treatments for patients with kidney failure. However, the removal of high molecular weight toxins such interlukin-6 (IL-6) and a wide selection of protein bound toxins such as p-cresyl sulphate (PCS) and indoxyl sulphate (IS) remains a major issues in the optimisation of these systems </w:t>
      </w:r>
      <w:r w:rsidRPr="000E1A48">
        <w:fldChar w:fldCharType="begin"/>
      </w:r>
      <w:r w:rsidRPr="000E1A48">
        <w:instrText xml:space="preserve"> ADDIN EN.CITE &lt;EndNote&gt;&lt;Cite&gt;&lt;Author&gt;Naka&lt;/Author&gt;&lt;Year&gt;2010&lt;/Year&gt;&lt;RecNum&gt;3&lt;/RecNum&gt;&lt;DisplayText&gt;[1]&lt;/DisplayText&gt;&lt;record&gt;&lt;rec-number&gt;3&lt;/rec-number&gt;&lt;foreign-keys&gt;&lt;key app="EN" db-id="ssfasxwvma2d2qedppzvtzsh29zwsxf2x9rf"&gt;3&lt;/key&gt;&lt;/foreign-keys&gt;&lt;ref-type name="Journal Article"&gt;17&lt;/ref-type&gt;&lt;contributors&gt;&lt;authors&gt;&lt;author&gt;Naka, T.&lt;/author&gt;&lt;author&gt;Haase, M.&lt;/author&gt;&lt;author&gt;Bellomo, R.&lt;/author&gt;&lt;/authors&gt;&lt;/contributors&gt;&lt;auth-address&gt;Department of Critical Care Medicine, Wakayama Medical University, Wakayama, Japan.&lt;/auth-address&gt;&lt;titles&gt;&lt;title&gt;&amp;apos;Super high-flux&amp;apos; or &amp;apos;high cut-off&amp;apos; hemofiltration and hemodialysis&lt;/title&gt;&lt;secondary-title&gt;Contrib Nephrol&lt;/secondary-title&gt;&lt;/titles&gt;&lt;periodical&gt;&lt;full-title&gt;Contrib Nephrol&lt;/full-title&gt;&lt;/periodical&gt;&lt;pages&gt;181-9&lt;/pages&gt;&lt;volume&gt;166&lt;/volume&gt;&lt;edition&gt;2010/05/18&lt;/edition&gt;&lt;keywords&gt;&lt;keyword&gt;Cytokines/blood/isolation &amp;amp; purification&lt;/keyword&gt;&lt;keyword&gt;Hemodynamics&lt;/keyword&gt;&lt;keyword&gt;Hemofiltration/ instrumentation&lt;/keyword&gt;&lt;keyword&gt;Humans&lt;/keyword&gt;&lt;keyword&gt;Immunity&lt;/keyword&gt;&lt;keyword&gt;Inflammation Mediators/blood/isolation &amp;amp; purification&lt;/keyword&gt;&lt;keyword&gt;Membranes, Artificial&lt;/keyword&gt;&lt;keyword&gt;Renal Dialysis/ instrumentation&lt;/keyword&gt;&lt;/keywords&gt;&lt;dates&gt;&lt;year&gt;2010&lt;/year&gt;&lt;/dates&gt;&lt;isbn&gt;1662-2782 (Electronic)&amp;#xD;0302-5144 (Linking)&lt;/isbn&gt;&lt;accession-num&gt;20473007&lt;/accession-num&gt;&lt;urls&gt;&lt;/urls&gt;&lt;electronic-resource-num&gt;10.1159/000314871&lt;/electronic-resource-num&gt;&lt;remote-database-provider&gt;NLM&lt;/remote-database-provider&gt;&lt;language&gt;eng&lt;/language&gt;&lt;/record&gt;&lt;/Cite&gt;&lt;/EndNote&gt;</w:instrText>
      </w:r>
      <w:r w:rsidRPr="000E1A48">
        <w:fldChar w:fldCharType="separate"/>
      </w:r>
      <w:r w:rsidRPr="000E1A48">
        <w:t>[</w:t>
      </w:r>
      <w:hyperlink w:anchor="_ENREF_1" w:tooltip="Naka, 2010 #3" w:history="1">
        <w:r w:rsidRPr="000E1A48">
          <w:t>1</w:t>
        </w:r>
      </w:hyperlink>
      <w:r w:rsidRPr="000E1A48">
        <w:t>]</w:t>
      </w:r>
      <w:r w:rsidRPr="000E1A48">
        <w:fldChar w:fldCharType="end"/>
      </w:r>
      <w:r w:rsidRPr="000E1A48">
        <w:t xml:space="preserve">. Evidence suggests that these toxins have most damaging effects but are poorly removed by current devices </w:t>
      </w:r>
      <w:r w:rsidRPr="000E1A48">
        <w:fldChar w:fldCharType="begin"/>
      </w:r>
      <w:r w:rsidRPr="000E1A48">
        <w:instrText xml:space="preserve"> ADDIN EN.CITE &lt;EndNote&gt;&lt;Cite&gt;&lt;Author&gt;Liabeuf&lt;/Author&gt;&lt;Year&gt;2011&lt;/Year&gt;&lt;RecNum&gt;4&lt;/RecNum&gt;&lt;DisplayText&gt;[2]&lt;/DisplayText&gt;&lt;record&gt;&lt;rec-number&gt;4&lt;/rec-number&gt;&lt;foreign-keys&gt;&lt;key app="EN" db-id="ssfasxwvma2d2qedppzvtzsh29zwsxf2x9rf"&gt;4&lt;/key&gt;&lt;/foreign-keys&gt;&lt;ref-type name="Journal Article"&gt;17&lt;/ref-type&gt;&lt;contributors&gt;&lt;authors&gt;&lt;author&gt;Liabeuf, S.&lt;/author&gt;&lt;author&gt;Drueke, T. B.&lt;/author&gt;&lt;author&gt;Massy, Z. A.&lt;/author&gt;&lt;/authors&gt;&lt;/contributors&gt;&lt;auth-address&gt;INSERM ERI-12 (EA 4292), Amiens 80000, France; Email: liabeuf.sophie@chu-amiens.fr (S.L.); tilman.drueke@inserm.fr (T.B.D.).&lt;/auth-address&gt;&lt;titles&gt;&lt;title&gt;Protein-bound uremic toxins: new insight from clinical studies&lt;/title&gt;&lt;secondary-title&gt;Toxins (Basel)&lt;/secondary-title&gt;&lt;/titles&gt;&lt;periodical&gt;&lt;full-title&gt;Toxins (Basel)&lt;/full-title&gt;&lt;/periodical&gt;&lt;pages&gt;911-9&lt;/pages&gt;&lt;volume&gt;3&lt;/volume&gt;&lt;number&gt;7&lt;/number&gt;&lt;edition&gt;2011/11/10&lt;/edition&gt;&lt;dates&gt;&lt;year&gt;2011&lt;/year&gt;&lt;pub-dates&gt;&lt;date&gt;Jul&lt;/date&gt;&lt;/pub-dates&gt;&lt;/dates&gt;&lt;isbn&gt;2072-6651 (Electronic)&amp;#xD;2072-6651 (Linking)&lt;/isbn&gt;&lt;accession-num&gt;22069747&lt;/accession-num&gt;&lt;urls&gt;&lt;/urls&gt;&lt;custom2&gt;3202851&lt;/custom2&gt;&lt;electronic-resource-num&gt;10.3390/toxins3070911&lt;/electronic-resource-num&gt;&lt;remote-database-provider&gt;NLM&lt;/remote-database-provider&gt;&lt;language&gt;eng&lt;/language&gt;&lt;/record&gt;&lt;/Cite&gt;&lt;/EndNote&gt;</w:instrText>
      </w:r>
      <w:r w:rsidRPr="000E1A48">
        <w:fldChar w:fldCharType="separate"/>
      </w:r>
      <w:r w:rsidRPr="000E1A48">
        <w:t>[</w:t>
      </w:r>
      <w:hyperlink w:anchor="_ENREF_2" w:tooltip="Liabeuf, 2011 #4" w:history="1">
        <w:r w:rsidRPr="000E1A48">
          <w:t>2</w:t>
        </w:r>
      </w:hyperlink>
      <w:r w:rsidRPr="000E1A48">
        <w:t>]</w:t>
      </w:r>
      <w:r w:rsidRPr="000E1A48">
        <w:fldChar w:fldCharType="end"/>
      </w:r>
      <w:r w:rsidRPr="000E1A48">
        <w:t>. There is an urgent need for an effective haemoadsorbent capable of removing a large spectrum of biotoxins to improve the treatment of kidney failure.</w:t>
      </w:r>
    </w:p>
    <w:p w:rsidR="00914010" w:rsidRPr="000E1A48" w:rsidRDefault="00914010" w:rsidP="00914010">
      <w:r w:rsidRPr="000E1A48">
        <w:t xml:space="preserve">The use of advanced nanoporous activated carbon as a haemoadsorbent for broad spectrum toxin removal has been explored </w:t>
      </w:r>
      <w:r w:rsidRPr="000E1A48">
        <w:fldChar w:fldCharType="begin">
          <w:fldData xml:space="preserve">PEVuZE5vdGU+PENpdGU+PEF1dGhvcj5NaWtoYWxvdnNreTwvQXV0aG9yPjxZZWFyPjIwMDk8L1ll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</w:fldData>
        </w:fldChar>
      </w:r>
      <w:r w:rsidRPr="000E1A48">
        <w:instrText xml:space="preserve"> ADDIN EN.CITE </w:instrText>
      </w:r>
      <w:r w:rsidRPr="000E1A48">
        <w:fldChar w:fldCharType="begin">
          <w:fldData xml:space="preserve">PEVuZE5vdGU+PENpdGU+PEF1dGhvcj5NaWtoYWxvdnNreTwvQXV0aG9yPjxZZWFyPjIwMDk8L1ll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</w:fldData>
        </w:fldChar>
      </w:r>
      <w:r w:rsidRPr="000E1A48">
        <w:instrText xml:space="preserve"> ADDIN EN.CITE.DATA </w:instrText>
      </w:r>
      <w:r w:rsidRPr="000E1A48">
        <w:fldChar w:fldCharType="end"/>
      </w:r>
      <w:r w:rsidRPr="000E1A48">
        <w:fldChar w:fldCharType="separate"/>
      </w:r>
      <w:r w:rsidRPr="000E1A48">
        <w:t>[</w:t>
      </w:r>
      <w:hyperlink w:anchor="_ENREF_3" w:tooltip="Mikhalovsky, 2009 #6" w:history="1">
        <w:r w:rsidRPr="000E1A48">
          <w:t>3-5</w:t>
        </w:r>
      </w:hyperlink>
      <w:r w:rsidRPr="000E1A48">
        <w:t>]</w:t>
      </w:r>
      <w:r w:rsidRPr="000E1A48">
        <w:fldChar w:fldCharType="end"/>
      </w:r>
      <w:r w:rsidRPr="000E1A48">
        <w:t xml:space="preserve">. </w:t>
      </w:r>
      <w:r>
        <w:t>However, when the adsorbents were used in the format of packed bed columns</w:t>
      </w:r>
      <w:r w:rsidRPr="000E1A48">
        <w:t xml:space="preserve"> undesirable high column back pressure and cross-column pressure drop during haemoperfusion </w:t>
      </w:r>
      <w:r>
        <w:t xml:space="preserve">was observed </w:t>
      </w:r>
      <w:r w:rsidRPr="000E1A48">
        <w:fldChar w:fldCharType="begin"/>
      </w:r>
      <w:r w:rsidRPr="000E1A48">
        <w:instrText xml:space="preserve"> ADDIN EN.CITE &lt;EndNote&gt;&lt;Cite&gt;&lt;Author&gt;Cooney&lt;/Author&gt;&lt;Year&gt;1983&lt;/Year&gt;&lt;RecNum&gt;19&lt;/RecNum&gt;&lt;DisplayText&gt;[6]&lt;/DisplayText&gt;&lt;record&gt;&lt;rec-number&gt;19&lt;/rec-number&gt;&lt;foreign-keys&gt;&lt;key app="EN" db-id="22eazzdrjf95t8eezzm5xxdo2pxsxd0d0zxr"&gt;19&lt;/key&gt;&lt;/foreign-keys&gt;&lt;ref-type name="Journal Article"&gt;17&lt;/ref-type&gt;&lt;contributors&gt;&lt;authors&gt;&lt;author&gt;Cooney, D. O.&lt;/author&gt;&lt;author&gt;Kane, R. P.&lt;/author&gt;&lt;/authors&gt;&lt;/contributors&gt;&lt;titles&gt;&lt;title&gt;The thin-film adsorber hemoperfusion device: detailed mass transfer and flow characteristics&lt;/title&gt;&lt;secondary-title&gt;Artif Organs&lt;/secondary-title&gt;&lt;alt-title&gt;Artificial organs&lt;/alt-title&gt;&lt;/titles&gt;&lt;periodical&gt;&lt;full-title&gt;Artif Organs&lt;/full-title&gt;&lt;abbr-1&gt;Artificial organs&lt;/abbr-1&gt;&lt;/periodical&gt;&lt;alt-periodical&gt;&lt;full-title&gt;Artif Organs&lt;/full-title&gt;&lt;abbr-1&gt;Artificial organs&lt;/abbr-1&gt;&lt;/alt-periodical&gt;&lt;pages&gt;197-207&lt;/pages&gt;&lt;volume&gt;7&lt;/volume&gt;&lt;number&gt;2&lt;/number&gt;&lt;edition&gt;1983/05/01&lt;/edition&gt;&lt;keywords&gt;&lt;keyword&gt;Adsorption&lt;/keyword&gt;&lt;keyword&gt;Animals&lt;/keyword&gt;&lt;keyword&gt;Barbital/metabolism&lt;/keyword&gt;&lt;keyword&gt;Biological Transport&lt;/keyword&gt;&lt;keyword&gt;Carbon/pharmacology&lt;/keyword&gt;&lt;keyword&gt;Cattle&lt;/keyword&gt;&lt;keyword&gt;Collodion/pharmacology&lt;/keyword&gt;&lt;keyword&gt;Dextrans/metabolism&lt;/keyword&gt;&lt;keyword&gt;Diffusion&lt;/keyword&gt;&lt;keyword&gt;Hemoperfusion/*instrumentation&lt;/keyword&gt;&lt;keyword&gt;Ion Exchange Resins/pharmacology&lt;/keyword&gt;&lt;keyword&gt;*Membranes, Artificial&lt;/keyword&gt;&lt;keyword&gt;Particle Size&lt;/keyword&gt;&lt;keyword&gt;Permeability&lt;/keyword&gt;&lt;keyword&gt;Pressure&lt;/keyword&gt;&lt;keyword&gt;Sodium Salicylate/metabolism&lt;/keyword&gt;&lt;keyword&gt;Temperature&lt;/keyword&gt;&lt;/keywords&gt;&lt;dates&gt;&lt;year&gt;1983&lt;/year&gt;&lt;pub-dates&gt;&lt;date&gt;May&lt;/date&gt;&lt;/pub-dates&gt;&lt;/dates&gt;&lt;isbn&gt;0160-564X (Print)&amp;#xD;0160-564x&lt;/isbn&gt;&lt;accession-num&gt;6191743&lt;/accession-num&gt;&lt;urls&gt;&lt;/urls&gt;&lt;remote-database-provider&gt;Nlm&lt;/remote-database-provider&gt;&lt;language&gt;eng&lt;/language&gt;&lt;/record&gt;&lt;/Cite&gt;&lt;/EndNote&gt;</w:instrText>
      </w:r>
      <w:r w:rsidRPr="000E1A48">
        <w:fldChar w:fldCharType="separate"/>
      </w:r>
      <w:r w:rsidRPr="000E1A48">
        <w:t>[</w:t>
      </w:r>
      <w:hyperlink w:anchor="_ENREF_6" w:tooltip="Cooney, 1983 #19" w:history="1">
        <w:r w:rsidRPr="000E1A48">
          <w:t>6</w:t>
        </w:r>
      </w:hyperlink>
      <w:r w:rsidRPr="000E1A48">
        <w:t>]</w:t>
      </w:r>
      <w:r w:rsidRPr="000E1A48">
        <w:fldChar w:fldCharType="end"/>
      </w:r>
      <w:r w:rsidRPr="000E1A48">
        <w:t>.</w:t>
      </w:r>
      <w:r>
        <w:t xml:space="preserve"> Therefore the authors’ group are exploring the</w:t>
      </w:r>
      <w:r w:rsidRPr="000E1A48">
        <w:t xml:space="preserve"> potential use of this ACM as an adjunct to improve </w:t>
      </w:r>
      <w:r>
        <w:t>the current HD treatment regime. T</w:t>
      </w:r>
      <w:r w:rsidRPr="000E1A48">
        <w:t xml:space="preserve">his study investigated the haemocompatibility of a blood contacting synthetic, nanoporous activated carbon monolith (ACM) </w:t>
      </w:r>
      <w:r>
        <w:t xml:space="preserve">using an </w:t>
      </w:r>
      <w:r w:rsidRPr="000E1A48">
        <w:rPr>
          <w:i/>
        </w:rPr>
        <w:t>ex vivo</w:t>
      </w:r>
      <w:r>
        <w:t xml:space="preserve"> whole blood perfusion model and assessing the parameters such as whole blood count, urea and electrolyte concentration, blood coagulation time, complement, platelet, granulocyte and T cell activation.</w:t>
      </w:r>
    </w:p>
    <w:p w:rsidR="000E1A48" w:rsidRDefault="000E1A48">
      <w:pPr>
        <w:rPr>
          <w:sz w:val="20"/>
          <w:szCs w:val="20"/>
        </w:rPr>
      </w:pPr>
      <w:r>
        <w:rPr>
          <w:sz w:val="20"/>
          <w:szCs w:val="20"/>
        </w:rPr>
        <w:br w:type="page"/>
      </w:r>
    </w:p>
    <w:p w:rsidR="000E1A48" w:rsidRDefault="000E1A48" w:rsidP="000E1A48">
      <w:pPr>
        <w:pStyle w:val="Heading1"/>
      </w:pPr>
      <w:r>
        <w:lastRenderedPageBreak/>
        <w:t>Introduction</w:t>
      </w:r>
    </w:p>
    <w:p w:rsidR="007B56AA" w:rsidRDefault="004101D5" w:rsidP="0015393B">
      <w:pPr>
        <w:pStyle w:val="Heading1"/>
      </w:pPr>
      <w:r w:rsidRPr="00C92113">
        <w:t>Materials</w:t>
      </w:r>
      <w:r w:rsidR="0015393B">
        <w:t xml:space="preserve"> and methods</w:t>
      </w:r>
    </w:p>
    <w:p w:rsidR="000E1A48" w:rsidRPr="000E1A48" w:rsidRDefault="000E1A48" w:rsidP="000E1A48">
      <w:pPr>
        <w:pStyle w:val="Heading2"/>
      </w:pPr>
      <w:r>
        <w:t>Materials</w:t>
      </w:r>
    </w:p>
    <w:p w:rsidR="00CC7EF4" w:rsidRDefault="00F82C8B" w:rsidP="00F82C8B">
      <w:r>
        <w:t>Platelet activation regent a</w:t>
      </w:r>
      <w:r w:rsidRPr="00E03ABE">
        <w:t>denosine 5′-diphosphate sodium salt</w:t>
      </w:r>
      <w:r>
        <w:t xml:space="preserve"> (ADP) and PAC-1 inhibitor Arg-Gly-Asp-Ser (RGDS) were purchased from Sigma-Aldrich. Leucocyte activator human recombine IL-6, IL-8; </w:t>
      </w:r>
      <w:r w:rsidRPr="00F82C8B">
        <w:t>fluorophore</w:t>
      </w:r>
      <w:r>
        <w:t xml:space="preserve"> conjugated antibodies including </w:t>
      </w:r>
      <w:r w:rsidR="000A4525">
        <w:t>PE/</w:t>
      </w:r>
      <w:r>
        <w:t>CD61 (</w:t>
      </w:r>
      <w:r w:rsidR="000A4525">
        <w:t xml:space="preserve">platelet specific antibody), </w:t>
      </w:r>
      <w:r>
        <w:t xml:space="preserve">APC </w:t>
      </w:r>
      <w:r w:rsidR="000A4525">
        <w:t>/</w:t>
      </w:r>
      <w:r>
        <w:t>D62P (</w:t>
      </w:r>
      <w:r w:rsidR="000A4525">
        <w:t>P-selectin specific), FITC/</w:t>
      </w:r>
      <w:r>
        <w:t>PAC-1 (</w:t>
      </w:r>
      <w:r w:rsidR="000A4525">
        <w:t>activated glycoprotein IIb/IIIa fibrinogen binding site marker</w:t>
      </w:r>
      <w:r w:rsidR="002C197B">
        <w:t xml:space="preserve">); </w:t>
      </w:r>
      <w:r>
        <w:t>were pur</w:t>
      </w:r>
      <w:r w:rsidR="00E23C36">
        <w:t>chased from BD Biosciences, UK.</w:t>
      </w:r>
      <w:r w:rsidR="00CC3910">
        <w:t xml:space="preserve"> </w:t>
      </w:r>
      <w:r w:rsidR="00CC3910" w:rsidRPr="00CC3910">
        <w:t>BD</w:t>
      </w:r>
      <w:r w:rsidR="00CC3910">
        <w:t xml:space="preserve"> Phosflow T cell Activation Kit, </w:t>
      </w:r>
      <w:r w:rsidR="005E0AC4">
        <w:t>BD FACS Lysing Solution,</w:t>
      </w:r>
      <w:r w:rsidR="005E0AC4" w:rsidRPr="005E0AC4">
        <w:t xml:space="preserve"> </w:t>
      </w:r>
      <w:r w:rsidR="00CC3910">
        <w:t>Human C3a ELISA kit, Human C5a ELISA kit II and Human C4a ELISA kit were alsopurchased from</w:t>
      </w:r>
      <w:r w:rsidR="00CC3910" w:rsidRPr="00CC3910">
        <w:t xml:space="preserve"> </w:t>
      </w:r>
      <w:r w:rsidR="00CC3910">
        <w:t>BD Biosciences, UK. Fl</w:t>
      </w:r>
      <w:r w:rsidR="00CC3910" w:rsidRPr="00F82C8B">
        <w:t>uorophore</w:t>
      </w:r>
      <w:r w:rsidR="00CC3910">
        <w:t xml:space="preserve"> conjugated antibodies including PE/CD14 and APC/CD11b were purchased from </w:t>
      </w:r>
      <w:r w:rsidR="00CC3910" w:rsidRPr="00CC3910">
        <w:t>BioLegend</w:t>
      </w:r>
      <w:r w:rsidR="00CC3910">
        <w:t>, UK.</w:t>
      </w:r>
      <w:r w:rsidR="005E0AC4">
        <w:t xml:space="preserve"> </w:t>
      </w:r>
      <w:r>
        <w:t>Nanoporous activated carbon monoliths</w:t>
      </w:r>
      <w:r w:rsidR="0015393B">
        <w:t xml:space="preserve"> were </w:t>
      </w:r>
      <w:r>
        <w:t>provided by</w:t>
      </w:r>
      <w:r w:rsidR="0015393B">
        <w:t xml:space="preserve"> Mast Carbon International, UK.</w:t>
      </w:r>
      <w:r w:rsidR="0016300B">
        <w:t xml:space="preserve"> </w:t>
      </w:r>
    </w:p>
    <w:p w:rsidR="00C92113" w:rsidRDefault="001D4C5A" w:rsidP="00F63829">
      <w:pPr>
        <w:pStyle w:val="Heading2"/>
      </w:pPr>
      <w:r w:rsidRPr="001D4C5A">
        <w:rPr>
          <w:i/>
        </w:rPr>
        <w:t>ex vivo</w:t>
      </w:r>
      <w:r>
        <w:t xml:space="preserve"> perfusion set up</w:t>
      </w:r>
    </w:p>
    <w:p w:rsidR="006B7F60" w:rsidRDefault="009B4C3D" w:rsidP="009B4C3D">
      <w:r>
        <w:t>Prior to the perfusion, AC monoliths</w:t>
      </w:r>
      <w:r w:rsidRPr="009B4C3D">
        <w:t xml:space="preserve"> were </w:t>
      </w:r>
      <w:r>
        <w:t>pre-conditioned</w:t>
      </w:r>
      <w:r w:rsidRPr="009B4C3D">
        <w:t xml:space="preserve"> by circulating 20 ml of NaCl (0.9%) solution at the flow rate of 5 ml/min for 30 min using a</w:t>
      </w:r>
      <w:r>
        <w:t>n</w:t>
      </w:r>
      <w:r w:rsidRPr="009B4C3D">
        <w:t xml:space="preserve"> </w:t>
      </w:r>
      <w:r>
        <w:t>ISMATEC</w:t>
      </w:r>
      <w:r w:rsidRPr="009B4C3D">
        <w:t xml:space="preserve"> multi-channel peristaltic pump</w:t>
      </w:r>
      <w:r>
        <w:t xml:space="preserve"> (IPC8). Then f</w:t>
      </w:r>
      <w:r w:rsidRPr="009B4C3D">
        <w:t>reshly drawn healthy donor blood (20 ml) was perfused through each monolith at the rate of 1 ml/min</w:t>
      </w:r>
      <w:r>
        <w:t xml:space="preserve">. A control with no AC monolith attached to the circulation was also included as control (tubing control). </w:t>
      </w:r>
      <w:r w:rsidRPr="009B4C3D">
        <w:t xml:space="preserve">Blood samples were collected at </w:t>
      </w:r>
      <w:r>
        <w:t>before perfusion (time 0)</w:t>
      </w:r>
      <w:r w:rsidRPr="009B4C3D">
        <w:t xml:space="preserve"> and after first pass, 15, 30, 45 and 60 min of perfusion</w:t>
      </w:r>
      <w:r>
        <w:t>.</w:t>
      </w:r>
    </w:p>
    <w:p w:rsidR="001D4C5A" w:rsidRDefault="001D4C5A" w:rsidP="001D4C5A">
      <w:pPr>
        <w:pStyle w:val="Heading2"/>
      </w:pPr>
      <w:r>
        <w:t>Complement activation</w:t>
      </w:r>
    </w:p>
    <w:p w:rsidR="00CB5694" w:rsidRDefault="009B4C3D" w:rsidP="003D305B">
      <w:r>
        <w:t xml:space="preserve">C3a, C4a and C5a were </w:t>
      </w:r>
      <w:r w:rsidR="00CB5694">
        <w:t>selected as complement</w:t>
      </w:r>
      <w:r>
        <w:t xml:space="preserve"> activation </w:t>
      </w:r>
      <w:r w:rsidR="00CB5694">
        <w:t xml:space="preserve">marker. Fresh blood collected from healthy donor were anticoagulated using EDTA were used for this study. Whole blood samples </w:t>
      </w:r>
      <w:r w:rsidR="00CB5694">
        <w:lastRenderedPageBreak/>
        <w:t xml:space="preserve">collected from </w:t>
      </w:r>
      <w:r w:rsidR="00CB5694" w:rsidRPr="001D4C5A">
        <w:rPr>
          <w:i/>
        </w:rPr>
        <w:t>ex vivo</w:t>
      </w:r>
      <w:r w:rsidR="00CB5694">
        <w:t xml:space="preserve"> perfusion were centrifuged at 3500 rpm for 15 </w:t>
      </w:r>
      <w:r w:rsidR="00A853ED">
        <w:t>minutes</w:t>
      </w:r>
      <w:r w:rsidR="00CB5694">
        <w:t>. After the centrifugation, the supernatant fraction of plasma was collected and stored at -80°C until ELISA assay.</w:t>
      </w:r>
      <w:r w:rsidR="00372FBA">
        <w:t xml:space="preserve"> </w:t>
      </w:r>
      <w:r w:rsidR="00CB5694">
        <w:t xml:space="preserve">The C3a, C4a and C5a ELISA assay were performed according to manufacturer’s </w:t>
      </w:r>
      <w:r w:rsidR="00A853ED">
        <w:t>m</w:t>
      </w:r>
      <w:r w:rsidR="00A853ED" w:rsidRPr="00A853ED">
        <w:t>anual</w:t>
      </w:r>
      <w:r w:rsidR="00CB5694">
        <w:t>.</w:t>
      </w:r>
      <w:r w:rsidR="00372FBA">
        <w:t xml:space="preserve"> </w:t>
      </w:r>
      <w:r w:rsidR="00CB5694">
        <w:t xml:space="preserve">In brief, </w:t>
      </w:r>
      <w:r w:rsidR="00A853ED">
        <w:t xml:space="preserve">100 µl standards and diluted </w:t>
      </w:r>
      <w:r w:rsidR="00CB5694">
        <w:t xml:space="preserve">plasma samples </w:t>
      </w:r>
      <w:r w:rsidR="00A853ED">
        <w:t>(1/2000</w:t>
      </w:r>
      <w:r w:rsidR="00CB5694">
        <w:t xml:space="preserve"> </w:t>
      </w:r>
      <w:r w:rsidR="00A853ED">
        <w:t>for C3a/C4a and 1/40 for C5a) were incubated for 2 hours in each well of 96 well plates with pre-coated C3a, C4a or C5a capture antibody. After the incubation, the plasma samples were removed from the wells which were then washed five times using washing buffer provided in the kit. Working detectors w</w:t>
      </w:r>
      <w:r w:rsidR="003D305B">
        <w:t>ere then added and incubated for 1 hour. This if followed by aspirating and washing of the plate for</w:t>
      </w:r>
      <w:r w:rsidR="003D305B" w:rsidRPr="003D305B">
        <w:t xml:space="preserve"> 7 times</w:t>
      </w:r>
      <w:r w:rsidR="003D305B">
        <w:t xml:space="preserve"> before 50 µl 3,3’,5,5’ tetramethylbenzidine (TMB) subtract was added into each wells and incubated for 30 minutes. Finally the reaction was stopped by addition of 50 µl stop solution before the absorbance was read at 450 nm wavelength. The concentration of </w:t>
      </w:r>
      <w:r w:rsidR="00E25330">
        <w:t>C3a, C4a and C5a</w:t>
      </w:r>
      <w:r w:rsidR="003D305B">
        <w:t xml:space="preserve"> were determined by interpolation from the </w:t>
      </w:r>
      <w:r w:rsidR="00E25330">
        <w:t>corresponding standards</w:t>
      </w:r>
      <w:r w:rsidR="003D305B">
        <w:t>.</w:t>
      </w:r>
    </w:p>
    <w:p w:rsidR="00EA63AB" w:rsidRDefault="001D4C5A" w:rsidP="00EA63AB">
      <w:pPr>
        <w:pStyle w:val="Heading2"/>
      </w:pPr>
      <w:r>
        <w:t>Platelet activation</w:t>
      </w:r>
    </w:p>
    <w:p w:rsidR="001D4C5A" w:rsidRPr="001D4C5A" w:rsidRDefault="00372FBA" w:rsidP="00372FBA">
      <w:r>
        <w:t>Donor blood was</w:t>
      </w:r>
      <w:r w:rsidR="003A24BD">
        <w:t xml:space="preserve"> collected using</w:t>
      </w:r>
      <w:r>
        <w:t xml:space="preserve"> 21 gauge needle</w:t>
      </w:r>
      <w:r w:rsidR="003A24BD">
        <w:t>s</w:t>
      </w:r>
      <w:r>
        <w:t xml:space="preserve"> and anticoagulated </w:t>
      </w:r>
      <w:r w:rsidR="003A24BD">
        <w:t>with</w:t>
      </w:r>
      <w:r>
        <w:t xml:space="preserve"> sodium citrate. First 2</w:t>
      </w:r>
      <w:r w:rsidR="003A24BD">
        <w:t xml:space="preserve"> </w:t>
      </w:r>
      <w:r>
        <w:t xml:space="preserve">ml of blood collected was incubated with ADP (2 µM) for 5 minutes and used as positive control. Fresh whole blood sample </w:t>
      </w:r>
      <w:r w:rsidR="003A24BD">
        <w:t xml:space="preserve">(5µl) </w:t>
      </w:r>
      <w:r>
        <w:t>collected from</w:t>
      </w:r>
      <w:r w:rsidR="003A24BD" w:rsidRPr="003A24BD">
        <w:rPr>
          <w:i/>
        </w:rPr>
        <w:t xml:space="preserve"> </w:t>
      </w:r>
      <w:r w:rsidR="003A24BD" w:rsidRPr="001D4C5A">
        <w:rPr>
          <w:i/>
        </w:rPr>
        <w:t>ex vivo</w:t>
      </w:r>
      <w:r w:rsidR="003A24BD">
        <w:t xml:space="preserve"> perfusion</w:t>
      </w:r>
      <w:r>
        <w:t xml:space="preserve"> </w:t>
      </w:r>
      <w:r w:rsidR="003A24BD">
        <w:t xml:space="preserve">were incubated in the dark with </w:t>
      </w:r>
      <w:r>
        <w:t>PE/</w:t>
      </w:r>
      <w:r w:rsidR="003A24BD">
        <w:t xml:space="preserve">CD61 (10 µl), </w:t>
      </w:r>
      <w:r>
        <w:t>APC /D62P</w:t>
      </w:r>
      <w:r w:rsidR="003A24BD">
        <w:t xml:space="preserve"> (10 µl) and </w:t>
      </w:r>
      <w:r>
        <w:t xml:space="preserve">FITC/PAC-1 </w:t>
      </w:r>
      <w:r w:rsidR="003A24BD">
        <w:t>(10 µl) antibody cocktail for 20 minutes before they were fixed using 1 ml of chilled 1% p</w:t>
      </w:r>
      <w:r w:rsidR="003A24BD" w:rsidRPr="009F1E76">
        <w:t>araformaldehyde</w:t>
      </w:r>
      <w:r w:rsidR="003A24BD">
        <w:t xml:space="preserve"> in PBS for 30 minutes at 4 °C. The fixed whole blood were then analysis using Accuri C6 with data acquisition run limit of 10,000 events on platelet gate and </w:t>
      </w:r>
      <w:r w:rsidR="003A24BD" w:rsidRPr="003A24BD">
        <w:t xml:space="preserve">Forward Scatter </w:t>
      </w:r>
      <w:r w:rsidR="003A24BD">
        <w:t xml:space="preserve">(FSC) threshold of 10,000. </w:t>
      </w:r>
      <w:r w:rsidR="00E25330">
        <w:t>The population of platelets and the fluoresce intensity of platelet activation markers were obtained</w:t>
      </w:r>
      <w:r w:rsidR="003A24BD">
        <w:t xml:space="preserve"> using BD CSampler software (version 1.0.264.21)</w:t>
      </w:r>
      <w:r w:rsidR="00E25330">
        <w:t xml:space="preserve">. </w:t>
      </w:r>
    </w:p>
    <w:p w:rsidR="00EA63AB" w:rsidRDefault="005E0AC4" w:rsidP="00EA63AB">
      <w:pPr>
        <w:pStyle w:val="Heading2"/>
      </w:pPr>
      <w:r>
        <w:lastRenderedPageBreak/>
        <w:t>Granulocyte activation</w:t>
      </w:r>
    </w:p>
    <w:p w:rsidR="005E0AC4" w:rsidRDefault="00B52FCF" w:rsidP="008B6451">
      <w:r>
        <w:t>In order to determine the g</w:t>
      </w:r>
      <w:r w:rsidRPr="00B52FCF">
        <w:t>ranulocyte activation</w:t>
      </w:r>
      <w:r>
        <w:t xml:space="preserve"> after </w:t>
      </w:r>
      <w:r w:rsidRPr="00B52FCF">
        <w:rPr>
          <w:i/>
        </w:rPr>
        <w:t>ex vivo</w:t>
      </w:r>
      <w:r>
        <w:t xml:space="preserve"> whole blood perfusion experiments, lithium heparin anticoagulated donor blood were used. </w:t>
      </w:r>
      <w:r w:rsidR="001B2336">
        <w:t>IL6 (50 ng/ml) and IL8 (50 ng/ml) were used to stimulate the granulocyte activation with 60 minutes of incubation with fresh whole blood. B</w:t>
      </w:r>
      <w:r>
        <w:t>lood samples (100 µl) w</w:t>
      </w:r>
      <w:r w:rsidR="001B2336">
        <w:t xml:space="preserve">ere incubated with </w:t>
      </w:r>
      <w:r w:rsidR="008B6451">
        <w:t>PE/CD14 (20 µl) and APC/CD11b (20 µl) antibody cocktails for 20 minutes before 1.5 ml Lyse/Fix buffer was added to fix the stained blood samples in the dark for 30 min. The mixture</w:t>
      </w:r>
      <w:r w:rsidR="0064773D">
        <w:t>s</w:t>
      </w:r>
      <w:r w:rsidR="008B6451">
        <w:t xml:space="preserve"> were then centrifuge at 600g for 6 min for the removal of supernatant and the cells were washed </w:t>
      </w:r>
      <w:r w:rsidR="0064773D">
        <w:t xml:space="preserve">with 2 ml stain buffer. After the washing, the cells were pelleted and </w:t>
      </w:r>
      <w:bookmarkStart w:id="0" w:name="OLE_LINK1"/>
      <w:r w:rsidR="0064773D">
        <w:t>r</w:t>
      </w:r>
      <w:r w:rsidR="008B6451">
        <w:t xml:space="preserve">esuspend </w:t>
      </w:r>
      <w:r w:rsidR="0064773D">
        <w:t>in 300 µl stain buffer for analysis using Accuri C6</w:t>
      </w:r>
      <w:bookmarkEnd w:id="0"/>
      <w:r w:rsidR="0064773D">
        <w:t>.</w:t>
      </w:r>
    </w:p>
    <w:p w:rsidR="005E0AC4" w:rsidRPr="005E0AC4" w:rsidRDefault="005E0AC4" w:rsidP="005E0AC4">
      <w:pPr>
        <w:pStyle w:val="Heading2"/>
      </w:pPr>
      <w:r>
        <w:t>T cell actiation</w:t>
      </w:r>
    </w:p>
    <w:p w:rsidR="00722B7E" w:rsidRDefault="00872ED5" w:rsidP="00E25B88">
      <w:r>
        <w:t xml:space="preserve">For T cell activation study, fresh blood collected from healthy donor was anticoagulated using EDTA for </w:t>
      </w:r>
      <w:r w:rsidRPr="001D4C5A">
        <w:rPr>
          <w:i/>
        </w:rPr>
        <w:t>ex vivo</w:t>
      </w:r>
      <w:r>
        <w:t xml:space="preserve"> perfusion. Whole blood (200 µl) collected from the </w:t>
      </w:r>
      <w:r w:rsidRPr="001D4C5A">
        <w:rPr>
          <w:i/>
        </w:rPr>
        <w:t>ex vivo</w:t>
      </w:r>
      <w:r>
        <w:t xml:space="preserve"> perfusion was </w:t>
      </w:r>
      <w:r w:rsidR="00454715">
        <w:t>lysed (red blood cells) and p</w:t>
      </w:r>
      <w:r w:rsidR="00454715" w:rsidRPr="00454715">
        <w:t>ermeabili</w:t>
      </w:r>
      <w:r w:rsidR="00454715">
        <w:t>sed</w:t>
      </w:r>
      <w:r w:rsidR="00454715" w:rsidRPr="00454715">
        <w:t xml:space="preserve"> </w:t>
      </w:r>
      <w:r w:rsidR="00454715">
        <w:t>(white blood cells) according to manufacturer’s m</w:t>
      </w:r>
      <w:r w:rsidR="00454715" w:rsidRPr="00A853ED">
        <w:t>anual</w:t>
      </w:r>
      <w:r w:rsidR="00454715">
        <w:t xml:space="preserve">. The permeablised white blood cells were collected and stained using </w:t>
      </w:r>
      <w:r w:rsidR="00454715" w:rsidRPr="00454715">
        <w:t>PerCP/CD3</w:t>
      </w:r>
      <w:r w:rsidR="00454715">
        <w:t xml:space="preserve">, </w:t>
      </w:r>
      <w:r w:rsidR="00454715" w:rsidRPr="00454715">
        <w:t>Alexa488</w:t>
      </w:r>
      <w:r w:rsidR="00454715">
        <w:t xml:space="preserve">/CD8, PE/CD4 antibody cocktail (20 µl) and </w:t>
      </w:r>
      <w:r w:rsidR="00454715">
        <w:rPr>
          <w:sz w:val="22"/>
          <w:szCs w:val="22"/>
        </w:rPr>
        <w:t xml:space="preserve">Alexa647/STAT3 (20 </w:t>
      </w:r>
      <w:r w:rsidR="00454715">
        <w:t>µl) for 1 hour. After the staining, the cells were washed and resuspend in 200 µl stain buffer for analysis using Accuri C6.</w:t>
      </w:r>
    </w:p>
    <w:p w:rsidR="007B56AA" w:rsidRDefault="009A1065" w:rsidP="009A1065">
      <w:pPr>
        <w:pStyle w:val="Heading1"/>
      </w:pPr>
      <w:r>
        <w:lastRenderedPageBreak/>
        <w:t>Results</w:t>
      </w:r>
    </w:p>
    <w:p w:rsidR="00501D0E" w:rsidRDefault="005E0AC4" w:rsidP="00501D0E">
      <w:pPr>
        <w:pStyle w:val="Heading2"/>
      </w:pPr>
      <w:r>
        <w:t>Complement activation</w:t>
      </w:r>
    </w:p>
    <w:p w:rsidR="00914010" w:rsidRDefault="006A39A1" w:rsidP="006A39A1">
      <w:pPr>
        <w:pStyle w:val="Picture"/>
        <w:spacing w:before="0"/>
      </w:pPr>
      <w:r w:rsidRPr="00914010">
        <w:object w:dxaOrig="7560" w:dyaOrig="4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75pt;height:195pt" o:ole="">
            <v:imagedata r:id="rId8" o:title=""/>
          </v:shape>
          <o:OLEObject Type="Embed" ProgID="Prism6.Document" ShapeID="_x0000_i1025" DrawAspect="Content" ObjectID="_1675494219" r:id="rId9"/>
        </w:object>
      </w:r>
    </w:p>
    <w:p w:rsidR="00914010" w:rsidRDefault="006A39A1" w:rsidP="006A39A1">
      <w:pPr>
        <w:pStyle w:val="Picture"/>
        <w:spacing w:before="0"/>
      </w:pPr>
      <w:r w:rsidRPr="00914010">
        <w:object w:dxaOrig="7560" w:dyaOrig="4327">
          <v:shape id="_x0000_i1026" type="#_x0000_t75" style="width:327.75pt;height:187.5pt" o:ole="">
            <v:imagedata r:id="rId10" o:title=""/>
          </v:shape>
          <o:OLEObject Type="Embed" ProgID="Prism6.Document" ShapeID="_x0000_i1026" DrawAspect="Content" ObjectID="_1675494220" r:id="rId11"/>
        </w:object>
      </w:r>
    </w:p>
    <w:p w:rsidR="00914010" w:rsidRDefault="006A39A1" w:rsidP="006A39A1">
      <w:pPr>
        <w:pStyle w:val="Picture"/>
        <w:spacing w:before="0"/>
      </w:pPr>
      <w:r w:rsidRPr="00914010">
        <w:object w:dxaOrig="7546" w:dyaOrig="4327">
          <v:shape id="_x0000_i1027" type="#_x0000_t75" style="width:336.75pt;height:192pt" o:ole="">
            <v:imagedata r:id="rId12" o:title=""/>
          </v:shape>
          <o:OLEObject Type="Embed" ProgID="Prism6.Document" ShapeID="_x0000_i1027" DrawAspect="Content" ObjectID="_1675494221" r:id="rId13"/>
        </w:object>
      </w:r>
    </w:p>
    <w:p w:rsidR="00722B7E" w:rsidRDefault="00C17E15" w:rsidP="00C17E15">
      <w:pPr>
        <w:pStyle w:val="FigureCaption0"/>
      </w:pPr>
      <w:r>
        <w:t xml:space="preserve">Figure </w:t>
      </w:r>
      <w:r w:rsidR="00184BC9">
        <w:fldChar w:fldCharType="begin"/>
      </w:r>
      <w:r w:rsidR="00184BC9">
        <w:instrText xml:space="preserve"> SEQ Figure \* ARABIC </w:instrText>
      </w:r>
      <w:r w:rsidR="00184BC9">
        <w:fldChar w:fldCharType="separate"/>
      </w:r>
      <w:r w:rsidR="005E4433">
        <w:rPr>
          <w:noProof/>
        </w:rPr>
        <w:t>1</w:t>
      </w:r>
      <w:r w:rsidR="00184BC9">
        <w:rPr>
          <w:noProof/>
        </w:rPr>
        <w:fldChar w:fldCharType="end"/>
      </w:r>
      <w:r>
        <w:t xml:space="preserve"> Concentration of C3a (A), C4a (B) and C5a (C) in the plasma collected from whole blood perfusion through the </w:t>
      </w:r>
      <w:r w:rsidRPr="00C17E15">
        <w:rPr>
          <w:i/>
        </w:rPr>
        <w:t>ex vivo</w:t>
      </w:r>
      <w:r>
        <w:t xml:space="preserve"> circuit with and without AC monolith. (SEM±, n=3)</w:t>
      </w:r>
    </w:p>
    <w:p w:rsidR="00D62450" w:rsidRDefault="005E0AC4" w:rsidP="00141F1E">
      <w:pPr>
        <w:pStyle w:val="Heading2"/>
      </w:pPr>
      <w:r>
        <w:lastRenderedPageBreak/>
        <w:t>Platelet activation</w:t>
      </w:r>
    </w:p>
    <w:p w:rsidR="00FF397F" w:rsidRDefault="00FF397F" w:rsidP="00FF397F">
      <w:pPr>
        <w:pStyle w:val="Picture"/>
        <w:keepNext/>
      </w:pPr>
      <w:r>
        <w:rPr>
          <w:noProof/>
          <w:lang w:val="en-GB" w:eastAsia="en-GB"/>
        </w:rPr>
        <w:drawing>
          <wp:inline distT="0" distB="0" distL="0" distR="0" wp14:anchorId="03F64B73" wp14:editId="1AB933F3">
            <wp:extent cx="4774019" cy="47693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r="5074"/>
                    <a:stretch/>
                  </pic:blipFill>
                  <pic:spPr bwMode="auto">
                    <a:xfrm>
                      <a:off x="0" y="0"/>
                      <a:ext cx="4776812" cy="4772189"/>
                    </a:xfrm>
                    <a:prstGeom prst="rect">
                      <a:avLst/>
                    </a:prstGeom>
                    <a:noFill/>
                    <a:ln>
                      <a:noFill/>
                    </a:ln>
                    <a:extLst>
                      <a:ext uri="{53640926-AAD7-44D8-BBD7-CCE9431645EC}">
                        <a14:shadowObscured xmlns:a14="http://schemas.microsoft.com/office/drawing/2010/main"/>
                      </a:ext>
                    </a:extLst>
                  </pic:spPr>
                </pic:pic>
              </a:graphicData>
            </a:graphic>
          </wp:inline>
        </w:drawing>
      </w:r>
    </w:p>
    <w:p w:rsidR="00FF397F" w:rsidRPr="00FF397F" w:rsidRDefault="00FF397F" w:rsidP="00FF397F">
      <w:pPr>
        <w:pStyle w:val="FigureCaption0"/>
      </w:pPr>
      <w:r>
        <w:t xml:space="preserve">Figure </w:t>
      </w:r>
      <w:r w:rsidR="00184BC9">
        <w:fldChar w:fldCharType="begin"/>
      </w:r>
      <w:r w:rsidR="00184BC9">
        <w:instrText xml:space="preserve"> SEQ Figure \* ARABIC </w:instrText>
      </w:r>
      <w:r w:rsidR="00184BC9">
        <w:fldChar w:fldCharType="separate"/>
      </w:r>
      <w:r w:rsidR="005E4433">
        <w:rPr>
          <w:noProof/>
        </w:rPr>
        <w:t>2</w:t>
      </w:r>
      <w:r w:rsidR="00184BC9">
        <w:rPr>
          <w:noProof/>
        </w:rPr>
        <w:fldChar w:fldCharType="end"/>
      </w:r>
      <w:r>
        <w:t xml:space="preserve"> Gating on platelet population using FCS/SSC (A) and CD61/SSC (B) and PAC-1 positive platelet population (C) and CD62P positive platelet population (D).</w:t>
      </w:r>
    </w:p>
    <w:p w:rsidR="005E4433" w:rsidRDefault="005E4433" w:rsidP="005E4433">
      <w:pPr>
        <w:pStyle w:val="Picture"/>
      </w:pPr>
      <w:r w:rsidRPr="005E4433">
        <w:object w:dxaOrig="11081" w:dyaOrig="11755">
          <v:shape id="_x0000_i1028" type="#_x0000_t75" style="width:486.75pt;height:515.25pt" o:ole="" filled="t">
            <v:imagedata r:id="rId15" o:title=""/>
          </v:shape>
          <o:OLEObject Type="Embed" ProgID="Prism6.Document" ShapeID="_x0000_i1028" DrawAspect="Content" ObjectID="_1675494222" r:id="rId16"/>
        </w:object>
      </w:r>
    </w:p>
    <w:p w:rsidR="006A292C" w:rsidRDefault="00C17E15" w:rsidP="00C17E15">
      <w:pPr>
        <w:pStyle w:val="FigureCaption0"/>
      </w:pPr>
      <w:r>
        <w:t xml:space="preserve">Figure </w:t>
      </w:r>
      <w:r w:rsidR="00184BC9">
        <w:fldChar w:fldCharType="begin"/>
      </w:r>
      <w:r w:rsidR="00184BC9">
        <w:instrText xml:space="preserve"> SEQ Figure \* ARABIC </w:instrText>
      </w:r>
      <w:r w:rsidR="00184BC9">
        <w:fldChar w:fldCharType="separate"/>
      </w:r>
      <w:r w:rsidR="005E4433">
        <w:rPr>
          <w:noProof/>
        </w:rPr>
        <w:t>3</w:t>
      </w:r>
      <w:r w:rsidR="00184BC9">
        <w:rPr>
          <w:noProof/>
        </w:rPr>
        <w:fldChar w:fldCharType="end"/>
      </w:r>
      <w:r w:rsidRPr="00C17E15">
        <w:t xml:space="preserve"> </w:t>
      </w:r>
      <w:bookmarkStart w:id="1" w:name="OLE_LINK2"/>
      <w:r>
        <w:t xml:space="preserve">Percentage of PAC-1 positive population (A) and CD62P positive population (B) in the total population of platelet in the whole blood samples collected in </w:t>
      </w:r>
      <w:r w:rsidRPr="00C17E15">
        <w:rPr>
          <w:i/>
        </w:rPr>
        <w:t>ex vivo</w:t>
      </w:r>
      <w:r>
        <w:t xml:space="preserve"> perfusion circuit with and without AC monolith. (SEM±, n=3</w:t>
      </w:r>
      <w:bookmarkEnd w:id="1"/>
      <w:r>
        <w:t>)</w:t>
      </w:r>
    </w:p>
    <w:p w:rsidR="005E4433" w:rsidRDefault="005E4433" w:rsidP="00C17E15">
      <w:pPr>
        <w:pStyle w:val="FigureCaption0"/>
      </w:pPr>
    </w:p>
    <w:bookmarkStart w:id="2" w:name="_GoBack"/>
    <w:p w:rsidR="005E4433" w:rsidRDefault="003E5AA5" w:rsidP="005E4433">
      <w:pPr>
        <w:pStyle w:val="FigureCaption0"/>
        <w:keepNext/>
      </w:pPr>
      <w:r>
        <w:object w:dxaOrig="11271" w:dyaOrig="12144">
          <v:shape id="_x0000_i1038" type="#_x0000_t75" style="width:484.5pt;height:522pt" o:ole="" filled="t">
            <v:imagedata r:id="rId17" o:title=""/>
          </v:shape>
          <o:OLEObject Type="Embed" ProgID="Prism6.Document" ShapeID="_x0000_i1038" DrawAspect="Content" ObjectID="_1675494223" r:id="rId18"/>
        </w:object>
      </w:r>
      <w:bookmarkEnd w:id="2"/>
    </w:p>
    <w:p w:rsidR="005E4433" w:rsidRDefault="005E4433" w:rsidP="005E4433">
      <w:pPr>
        <w:pStyle w:val="Caption"/>
      </w:pPr>
      <w:r>
        <w:t xml:space="preserve">Figure </w:t>
      </w:r>
      <w:r w:rsidR="00184BC9">
        <w:fldChar w:fldCharType="begin"/>
      </w:r>
      <w:r w:rsidR="00184BC9">
        <w:instrText xml:space="preserve"> SEQ Figure \* ARABIC </w:instrText>
      </w:r>
      <w:r w:rsidR="00184BC9">
        <w:fldChar w:fldCharType="separate"/>
      </w:r>
      <w:r>
        <w:rPr>
          <w:noProof/>
        </w:rPr>
        <w:t>4</w:t>
      </w:r>
      <w:r w:rsidR="00184BC9">
        <w:rPr>
          <w:noProof/>
        </w:rPr>
        <w:fldChar w:fldCharType="end"/>
      </w:r>
      <w:r>
        <w:t xml:space="preserve"> Expression of platelet activation markers PAC1 (a) and CD62p (b) in the platelets before and after the whole blood perfused monolith (Monolith) and tubing control (Tubing), 10 µM ADP was used to activated the platelet (ADP) to serve as a positive control.</w:t>
      </w:r>
    </w:p>
    <w:p w:rsidR="005E4433" w:rsidRDefault="005E4433" w:rsidP="00C17E15">
      <w:pPr>
        <w:pStyle w:val="FigureCaption0"/>
      </w:pPr>
    </w:p>
    <w:p w:rsidR="005E0AC4" w:rsidRDefault="005E0AC4" w:rsidP="005E0AC4">
      <w:pPr>
        <w:pStyle w:val="Heading2"/>
      </w:pPr>
      <w:r>
        <w:lastRenderedPageBreak/>
        <w:t>Granulocyte activation</w:t>
      </w:r>
    </w:p>
    <w:p w:rsidR="00EC137C" w:rsidRDefault="00B7492A" w:rsidP="00EC137C">
      <w:pPr>
        <w:pStyle w:val="Picture"/>
        <w:keepNext/>
      </w:pPr>
      <w:r>
        <w:object w:dxaOrig="7042" w:dyaOrig="4728">
          <v:shape id="_x0000_i1030" type="#_x0000_t75" style="width:428.25pt;height:286.5pt;mso-position-vertical:absolute" o:ole="">
            <v:imagedata r:id="rId19" o:title=""/>
          </v:shape>
          <o:OLEObject Type="Embed" ProgID="Prism5.Document" ShapeID="_x0000_i1030" DrawAspect="Content" ObjectID="_1675494224" r:id="rId20"/>
        </w:object>
      </w:r>
    </w:p>
    <w:p w:rsidR="0064773D" w:rsidRDefault="00EC137C" w:rsidP="00EC137C">
      <w:pPr>
        <w:pStyle w:val="FigureCaption0"/>
      </w:pPr>
      <w:r>
        <w:t xml:space="preserve">Figure </w:t>
      </w:r>
      <w:r w:rsidR="00184BC9">
        <w:fldChar w:fldCharType="begin"/>
      </w:r>
      <w:r w:rsidR="00184BC9">
        <w:instrText xml:space="preserve"> SEQ Figure \* ARABIC </w:instrText>
      </w:r>
      <w:r w:rsidR="00184BC9">
        <w:fldChar w:fldCharType="separate"/>
      </w:r>
      <w:r w:rsidR="005E4433">
        <w:rPr>
          <w:noProof/>
        </w:rPr>
        <w:t>6</w:t>
      </w:r>
      <w:r w:rsidR="00184BC9">
        <w:rPr>
          <w:noProof/>
        </w:rPr>
        <w:fldChar w:fldCharType="end"/>
      </w:r>
      <w:r w:rsidRPr="00EC137C">
        <w:t xml:space="preserve"> </w:t>
      </w:r>
      <w:bookmarkStart w:id="3" w:name="OLE_LINK3"/>
      <w:r>
        <w:t xml:space="preserve">Percentage granulocyte population with elevated CD11b expression in the total population of granulocyte in the whole blood samples collected in </w:t>
      </w:r>
      <w:r w:rsidRPr="00C17E15">
        <w:rPr>
          <w:i/>
        </w:rPr>
        <w:t>ex vivo</w:t>
      </w:r>
      <w:r>
        <w:t xml:space="preserve"> perfusion circuit with and without AC monolith. (SEM±, n=3)</w:t>
      </w:r>
      <w:bookmarkEnd w:id="3"/>
    </w:p>
    <w:p w:rsidR="005E0AC4" w:rsidRPr="005E0AC4" w:rsidRDefault="005E0AC4" w:rsidP="005E0AC4">
      <w:pPr>
        <w:pStyle w:val="Heading2"/>
      </w:pPr>
      <w:r>
        <w:lastRenderedPageBreak/>
        <w:t>T cell actiation</w:t>
      </w:r>
    </w:p>
    <w:p w:rsidR="00CD647C" w:rsidRDefault="00CD647C" w:rsidP="00006558">
      <w:pPr>
        <w:pStyle w:val="Picture"/>
      </w:pPr>
      <w:r w:rsidRPr="00006558">
        <w:object w:dxaOrig="10752" w:dyaOrig="11669">
          <v:shape id="_x0000_i1031" type="#_x0000_t75" style="width:486.75pt;height:528pt" o:ole="" filled="t">
            <v:imagedata r:id="rId21" o:title=""/>
          </v:shape>
          <o:OLEObject Type="Embed" ProgID="Prism6.Document" ShapeID="_x0000_i1031" DrawAspect="Content" ObjectID="_1675494225" r:id="rId22"/>
        </w:object>
      </w:r>
    </w:p>
    <w:p w:rsidR="00E41381" w:rsidRDefault="003B1C39" w:rsidP="003B1C39">
      <w:pPr>
        <w:pStyle w:val="FigureCaption0"/>
      </w:pPr>
      <w:r>
        <w:t xml:space="preserve">Figure </w:t>
      </w:r>
      <w:r w:rsidR="00184BC9">
        <w:fldChar w:fldCharType="begin"/>
      </w:r>
      <w:r w:rsidR="00184BC9">
        <w:instrText xml:space="preserve"> SEQ Figure \* ARABIC </w:instrText>
      </w:r>
      <w:r w:rsidR="00184BC9">
        <w:fldChar w:fldCharType="separate"/>
      </w:r>
      <w:r w:rsidR="005E4433">
        <w:rPr>
          <w:noProof/>
        </w:rPr>
        <w:t>7</w:t>
      </w:r>
      <w:r w:rsidR="00184BC9">
        <w:rPr>
          <w:noProof/>
        </w:rPr>
        <w:fldChar w:fldCharType="end"/>
      </w:r>
      <w:r>
        <w:t xml:space="preserve"> Percentage T cell population with phosphorylated Stat 3 protein in the total population of T cells in the whole blood samples collected in </w:t>
      </w:r>
      <w:r w:rsidRPr="00C17E15">
        <w:rPr>
          <w:i/>
        </w:rPr>
        <w:t>ex vivo</w:t>
      </w:r>
      <w:r>
        <w:t xml:space="preserve"> perfusion circuit with and without AC monolith. (SEM±, n=3)</w:t>
      </w:r>
    </w:p>
    <w:p w:rsidR="00B13330" w:rsidRDefault="00B13330">
      <w:pPr>
        <w:rPr>
          <w:b/>
        </w:rPr>
      </w:pPr>
      <w:r>
        <w:br w:type="page"/>
      </w:r>
    </w:p>
    <w:p w:rsidR="000B7D30" w:rsidRDefault="000B7D30" w:rsidP="000B7D30">
      <w:pPr>
        <w:pStyle w:val="Tablecaption"/>
      </w:pPr>
      <w:r>
        <w:lastRenderedPageBreak/>
        <w:t xml:space="preserve">Table </w:t>
      </w:r>
      <w:r w:rsidR="00184BC9">
        <w:fldChar w:fldCharType="begin"/>
      </w:r>
      <w:r w:rsidR="00184BC9">
        <w:instrText xml:space="preserve"> SEQ Table \* ARABIC </w:instrText>
      </w:r>
      <w:r w:rsidR="00184BC9">
        <w:fldChar w:fldCharType="separate"/>
      </w:r>
      <w:r w:rsidR="00810F93">
        <w:rPr>
          <w:noProof/>
        </w:rPr>
        <w:t>1</w:t>
      </w:r>
      <w:r w:rsidR="00184BC9">
        <w:rPr>
          <w:noProof/>
        </w:rPr>
        <w:fldChar w:fldCharType="end"/>
      </w:r>
      <w:r>
        <w:t xml:space="preserve"> Full blood count of before and after 60 minutes of perfusion through AC monolith (Monolith) and Tubing control (Tubing).</w:t>
      </w:r>
    </w:p>
    <w:tbl>
      <w:tblPr>
        <w:tblW w:w="95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510"/>
        <w:gridCol w:w="2548"/>
        <w:gridCol w:w="2368"/>
      </w:tblGrid>
      <w:tr w:rsidR="008E545F" w:rsidRPr="00F1005C" w:rsidTr="008E545F">
        <w:trPr>
          <w:trHeight w:val="567"/>
        </w:trPr>
        <w:tc>
          <w:tcPr>
            <w:tcW w:w="2139" w:type="dxa"/>
            <w:shd w:val="clear" w:color="auto" w:fill="auto"/>
            <w:noWrap/>
            <w:vAlign w:val="center"/>
          </w:tcPr>
          <w:p w:rsidR="008E545F" w:rsidRPr="00F1005C" w:rsidRDefault="008E545F" w:rsidP="008E545F">
            <w:pPr>
              <w:spacing w:before="0" w:after="0" w:line="240" w:lineRule="auto"/>
              <w:jc w:val="center"/>
              <w:rPr>
                <w:rFonts w:eastAsia="Times New Roman"/>
                <w:color w:val="000000"/>
              </w:rPr>
            </w:pPr>
          </w:p>
        </w:tc>
        <w:tc>
          <w:tcPr>
            <w:tcW w:w="2510" w:type="dxa"/>
            <w:vAlign w:val="center"/>
          </w:tcPr>
          <w:p w:rsidR="008E545F" w:rsidRPr="00F1005C" w:rsidRDefault="008E545F" w:rsidP="008E545F">
            <w:pPr>
              <w:spacing w:before="0" w:after="0" w:line="240" w:lineRule="auto"/>
              <w:jc w:val="center"/>
            </w:pPr>
            <w:r>
              <w:t>Pre-perfusion</w:t>
            </w:r>
          </w:p>
        </w:tc>
        <w:tc>
          <w:tcPr>
            <w:tcW w:w="2548" w:type="dxa"/>
            <w:vAlign w:val="center"/>
          </w:tcPr>
          <w:p w:rsidR="008E545F" w:rsidRPr="00283B36" w:rsidRDefault="008E545F" w:rsidP="008E545F">
            <w:pPr>
              <w:spacing w:before="0" w:after="0" w:line="240" w:lineRule="auto"/>
              <w:jc w:val="center"/>
            </w:pPr>
            <w:r>
              <w:t>Monolith</w:t>
            </w:r>
          </w:p>
        </w:tc>
        <w:tc>
          <w:tcPr>
            <w:tcW w:w="2368" w:type="dxa"/>
            <w:vAlign w:val="center"/>
          </w:tcPr>
          <w:p w:rsidR="008E545F" w:rsidRDefault="008E545F" w:rsidP="008E545F">
            <w:pPr>
              <w:spacing w:before="0" w:after="0" w:line="240" w:lineRule="auto"/>
              <w:jc w:val="center"/>
            </w:pPr>
            <w:r>
              <w:t>Tubng</w:t>
            </w:r>
          </w:p>
        </w:tc>
      </w:tr>
      <w:tr w:rsidR="008E545F" w:rsidRPr="00F1005C" w:rsidTr="008E545F">
        <w:trPr>
          <w:cantSplit/>
          <w:trHeight w:val="567"/>
        </w:trPr>
        <w:tc>
          <w:tcPr>
            <w:tcW w:w="2139" w:type="dxa"/>
            <w:shd w:val="clear" w:color="auto" w:fill="auto"/>
            <w:noWrap/>
            <w:vAlign w:val="center"/>
            <w:hideMark/>
          </w:tcPr>
          <w:p w:rsidR="008E545F" w:rsidRPr="00F1005C" w:rsidRDefault="008E545F" w:rsidP="008E545F">
            <w:pPr>
              <w:spacing w:before="0" w:after="0" w:line="240" w:lineRule="auto"/>
              <w:jc w:val="left"/>
              <w:rPr>
                <w:rFonts w:eastAsia="Times New Roman"/>
                <w:color w:val="000000"/>
              </w:rPr>
            </w:pPr>
            <w:r w:rsidRPr="00F1005C">
              <w:rPr>
                <w:rFonts w:eastAsia="Times New Roman"/>
                <w:color w:val="000000"/>
              </w:rPr>
              <w:t>HB</w:t>
            </w:r>
            <w:r w:rsidR="00A13316">
              <w:rPr>
                <w:rFonts w:eastAsia="Times New Roman"/>
                <w:color w:val="000000"/>
              </w:rPr>
              <w:t xml:space="preserve"> (g/l)</w:t>
            </w:r>
          </w:p>
        </w:tc>
        <w:tc>
          <w:tcPr>
            <w:tcW w:w="2510" w:type="dxa"/>
            <w:vAlign w:val="center"/>
          </w:tcPr>
          <w:p w:rsidR="008E545F" w:rsidRPr="00F1005C" w:rsidRDefault="008E545F" w:rsidP="008E545F">
            <w:pPr>
              <w:spacing w:before="0" w:after="0" w:line="240" w:lineRule="auto"/>
              <w:jc w:val="center"/>
            </w:pPr>
            <w:r w:rsidRPr="00F1005C">
              <w:t>140.8 ± 16.8</w:t>
            </w:r>
          </w:p>
        </w:tc>
        <w:tc>
          <w:tcPr>
            <w:tcW w:w="2548" w:type="dxa"/>
            <w:vAlign w:val="center"/>
          </w:tcPr>
          <w:p w:rsidR="008E545F" w:rsidRPr="00283B36" w:rsidRDefault="008E545F" w:rsidP="008E545F">
            <w:pPr>
              <w:spacing w:before="0" w:after="0" w:line="240" w:lineRule="auto"/>
              <w:jc w:val="center"/>
            </w:pPr>
            <w:r w:rsidRPr="00283B36">
              <w:t>137.2 ± 30.</w:t>
            </w:r>
            <w:r>
              <w:t>4</w:t>
            </w:r>
          </w:p>
        </w:tc>
        <w:tc>
          <w:tcPr>
            <w:tcW w:w="2368" w:type="dxa"/>
            <w:vAlign w:val="center"/>
          </w:tcPr>
          <w:p w:rsidR="008E545F" w:rsidRPr="00E13ADE" w:rsidRDefault="008E545F" w:rsidP="008E545F">
            <w:pPr>
              <w:spacing w:before="0" w:after="0" w:line="240" w:lineRule="auto"/>
              <w:jc w:val="center"/>
            </w:pPr>
            <w:r>
              <w:t>132.8</w:t>
            </w:r>
            <w:r w:rsidRPr="00E13ADE">
              <w:t xml:space="preserve"> ± </w:t>
            </w:r>
            <w:r>
              <w:t>26.6</w:t>
            </w:r>
          </w:p>
        </w:tc>
      </w:tr>
      <w:tr w:rsidR="008E545F" w:rsidRPr="00F1005C" w:rsidTr="008E545F">
        <w:trPr>
          <w:cantSplit/>
          <w:trHeight w:val="567"/>
        </w:trPr>
        <w:tc>
          <w:tcPr>
            <w:tcW w:w="2139" w:type="dxa"/>
            <w:shd w:val="clear" w:color="auto" w:fill="auto"/>
            <w:noWrap/>
            <w:vAlign w:val="center"/>
            <w:hideMark/>
          </w:tcPr>
          <w:p w:rsidR="008E545F" w:rsidRPr="00F1005C" w:rsidRDefault="008E545F" w:rsidP="008E545F">
            <w:pPr>
              <w:spacing w:before="0" w:after="0" w:line="240" w:lineRule="auto"/>
              <w:jc w:val="left"/>
              <w:rPr>
                <w:rFonts w:eastAsia="Times New Roman"/>
                <w:color w:val="000000"/>
              </w:rPr>
            </w:pPr>
            <w:r w:rsidRPr="00F1005C">
              <w:rPr>
                <w:rFonts w:eastAsia="Times New Roman"/>
                <w:color w:val="000000"/>
              </w:rPr>
              <w:t>WBC</w:t>
            </w:r>
            <w:r>
              <w:rPr>
                <w:rFonts w:eastAsia="Times New Roman"/>
                <w:color w:val="000000"/>
              </w:rPr>
              <w:t xml:space="preserve"> ×10</w:t>
            </w:r>
            <w:r w:rsidRPr="001770E2">
              <w:rPr>
                <w:rFonts w:eastAsia="Times New Roman"/>
                <w:color w:val="000000"/>
                <w:vertAlign w:val="superscript"/>
              </w:rPr>
              <w:t>9</w:t>
            </w:r>
            <w:r>
              <w:rPr>
                <w:rFonts w:eastAsia="Times New Roman"/>
                <w:color w:val="000000"/>
              </w:rPr>
              <w:t xml:space="preserve"> cell/ml</w:t>
            </w:r>
          </w:p>
        </w:tc>
        <w:tc>
          <w:tcPr>
            <w:tcW w:w="2510" w:type="dxa"/>
            <w:vAlign w:val="center"/>
          </w:tcPr>
          <w:p w:rsidR="008E545F" w:rsidRPr="00F1005C" w:rsidRDefault="008E545F" w:rsidP="008E545F">
            <w:pPr>
              <w:spacing w:before="0" w:after="0" w:line="240" w:lineRule="auto"/>
              <w:jc w:val="center"/>
            </w:pPr>
            <w:r w:rsidRPr="00F1005C">
              <w:t>7.4 ± 1.5</w:t>
            </w:r>
          </w:p>
        </w:tc>
        <w:tc>
          <w:tcPr>
            <w:tcW w:w="2548" w:type="dxa"/>
            <w:vAlign w:val="center"/>
          </w:tcPr>
          <w:p w:rsidR="008E545F" w:rsidRPr="00283B36" w:rsidRDefault="008E545F" w:rsidP="008E545F">
            <w:pPr>
              <w:spacing w:before="0" w:after="0" w:line="240" w:lineRule="auto"/>
              <w:jc w:val="center"/>
            </w:pPr>
            <w:r>
              <w:t>7.4</w:t>
            </w:r>
            <w:r w:rsidRPr="00283B36">
              <w:t xml:space="preserve"> ± 2.1</w:t>
            </w:r>
          </w:p>
        </w:tc>
        <w:tc>
          <w:tcPr>
            <w:tcW w:w="2368" w:type="dxa"/>
            <w:vAlign w:val="center"/>
          </w:tcPr>
          <w:p w:rsidR="008E545F" w:rsidRPr="00E13ADE" w:rsidRDefault="008E545F" w:rsidP="008E545F">
            <w:pPr>
              <w:spacing w:before="0" w:after="0" w:line="240" w:lineRule="auto"/>
              <w:jc w:val="center"/>
            </w:pPr>
            <w:r>
              <w:t>7.9</w:t>
            </w:r>
            <w:r w:rsidRPr="00E13ADE">
              <w:t xml:space="preserve"> ± </w:t>
            </w:r>
            <w:r>
              <w:t>2.2</w:t>
            </w:r>
          </w:p>
        </w:tc>
      </w:tr>
      <w:tr w:rsidR="008E545F" w:rsidRPr="00F1005C" w:rsidTr="008E545F">
        <w:trPr>
          <w:cantSplit/>
          <w:trHeight w:val="567"/>
        </w:trPr>
        <w:tc>
          <w:tcPr>
            <w:tcW w:w="2139" w:type="dxa"/>
            <w:shd w:val="clear" w:color="auto" w:fill="auto"/>
            <w:noWrap/>
            <w:vAlign w:val="center"/>
            <w:hideMark/>
          </w:tcPr>
          <w:p w:rsidR="008E545F" w:rsidRPr="00F1005C" w:rsidRDefault="008E545F" w:rsidP="008E545F">
            <w:pPr>
              <w:spacing w:before="0" w:after="0" w:line="240" w:lineRule="auto"/>
              <w:jc w:val="left"/>
              <w:rPr>
                <w:rFonts w:eastAsia="Times New Roman"/>
                <w:color w:val="000000"/>
              </w:rPr>
            </w:pPr>
            <w:r w:rsidRPr="00F1005C">
              <w:rPr>
                <w:rFonts w:eastAsia="Times New Roman"/>
                <w:color w:val="000000"/>
              </w:rPr>
              <w:t>PLT</w:t>
            </w:r>
            <w:r>
              <w:rPr>
                <w:rFonts w:eastAsia="Times New Roman"/>
                <w:color w:val="000000"/>
              </w:rPr>
              <w:t xml:space="preserve"> ×10</w:t>
            </w:r>
            <w:r w:rsidRPr="001770E2">
              <w:rPr>
                <w:rFonts w:eastAsia="Times New Roman"/>
                <w:color w:val="000000"/>
                <w:vertAlign w:val="superscript"/>
              </w:rPr>
              <w:t>9</w:t>
            </w:r>
            <w:r>
              <w:rPr>
                <w:rFonts w:eastAsia="Times New Roman"/>
                <w:color w:val="000000"/>
              </w:rPr>
              <w:t xml:space="preserve"> cell/ml</w:t>
            </w:r>
          </w:p>
        </w:tc>
        <w:tc>
          <w:tcPr>
            <w:tcW w:w="2510" w:type="dxa"/>
            <w:vAlign w:val="center"/>
          </w:tcPr>
          <w:p w:rsidR="008E545F" w:rsidRPr="00F1005C" w:rsidRDefault="008E545F" w:rsidP="008E545F">
            <w:pPr>
              <w:spacing w:before="0" w:after="0" w:line="240" w:lineRule="auto"/>
              <w:jc w:val="center"/>
            </w:pPr>
            <w:r w:rsidRPr="00F1005C">
              <w:t>261 ± 54</w:t>
            </w:r>
          </w:p>
        </w:tc>
        <w:tc>
          <w:tcPr>
            <w:tcW w:w="2548" w:type="dxa"/>
            <w:vAlign w:val="center"/>
          </w:tcPr>
          <w:p w:rsidR="008E545F" w:rsidRPr="00283B36" w:rsidRDefault="008E545F" w:rsidP="008E545F">
            <w:pPr>
              <w:spacing w:before="0" w:after="0" w:line="240" w:lineRule="auto"/>
              <w:jc w:val="center"/>
            </w:pPr>
            <w:r>
              <w:t>230</w:t>
            </w:r>
            <w:r w:rsidRPr="00283B36">
              <w:t xml:space="preserve"> ± </w:t>
            </w:r>
            <w:r>
              <w:t>75</w:t>
            </w:r>
          </w:p>
        </w:tc>
        <w:tc>
          <w:tcPr>
            <w:tcW w:w="2368" w:type="dxa"/>
            <w:vAlign w:val="center"/>
          </w:tcPr>
          <w:p w:rsidR="008E545F" w:rsidRPr="00E13ADE" w:rsidRDefault="008E545F" w:rsidP="008E545F">
            <w:pPr>
              <w:spacing w:before="0" w:after="0" w:line="240" w:lineRule="auto"/>
              <w:jc w:val="center"/>
            </w:pPr>
            <w:r>
              <w:t>288</w:t>
            </w:r>
            <w:r w:rsidRPr="00E13ADE">
              <w:t xml:space="preserve"> ± </w:t>
            </w:r>
            <w:r>
              <w:t>111</w:t>
            </w:r>
          </w:p>
        </w:tc>
      </w:tr>
      <w:tr w:rsidR="008E545F" w:rsidRPr="00F1005C" w:rsidTr="008E545F">
        <w:trPr>
          <w:cantSplit/>
          <w:trHeight w:val="567"/>
        </w:trPr>
        <w:tc>
          <w:tcPr>
            <w:tcW w:w="2139" w:type="dxa"/>
            <w:shd w:val="clear" w:color="auto" w:fill="auto"/>
            <w:noWrap/>
            <w:vAlign w:val="center"/>
            <w:hideMark/>
          </w:tcPr>
          <w:p w:rsidR="008E545F" w:rsidRPr="00F1005C" w:rsidRDefault="008E545F" w:rsidP="008E545F">
            <w:pPr>
              <w:spacing w:before="0" w:after="0" w:line="240" w:lineRule="auto"/>
              <w:jc w:val="left"/>
              <w:rPr>
                <w:rFonts w:eastAsia="Times New Roman"/>
                <w:color w:val="000000"/>
              </w:rPr>
            </w:pPr>
            <w:r w:rsidRPr="00F1005C">
              <w:rPr>
                <w:rFonts w:eastAsia="Times New Roman"/>
                <w:color w:val="000000"/>
              </w:rPr>
              <w:t>RBC</w:t>
            </w:r>
            <w:r>
              <w:rPr>
                <w:rFonts w:eastAsia="Times New Roman"/>
                <w:color w:val="000000"/>
              </w:rPr>
              <w:t xml:space="preserve"> ×10</w:t>
            </w:r>
            <w:r>
              <w:rPr>
                <w:rFonts w:eastAsia="Times New Roman"/>
                <w:color w:val="000000"/>
                <w:vertAlign w:val="superscript"/>
              </w:rPr>
              <w:t>12</w:t>
            </w:r>
            <w:r>
              <w:rPr>
                <w:rFonts w:eastAsia="Times New Roman"/>
                <w:color w:val="000000"/>
              </w:rPr>
              <w:t xml:space="preserve"> cell/ml</w:t>
            </w:r>
          </w:p>
        </w:tc>
        <w:tc>
          <w:tcPr>
            <w:tcW w:w="2510" w:type="dxa"/>
            <w:vAlign w:val="center"/>
          </w:tcPr>
          <w:p w:rsidR="008E545F" w:rsidRPr="00F1005C" w:rsidRDefault="008E545F" w:rsidP="008E545F">
            <w:pPr>
              <w:spacing w:before="0" w:after="0" w:line="240" w:lineRule="auto"/>
              <w:jc w:val="center"/>
            </w:pPr>
            <w:r w:rsidRPr="00F1005C">
              <w:t>4.76 ± 0.59</w:t>
            </w:r>
          </w:p>
        </w:tc>
        <w:tc>
          <w:tcPr>
            <w:tcW w:w="2548" w:type="dxa"/>
            <w:vAlign w:val="center"/>
          </w:tcPr>
          <w:p w:rsidR="008E545F" w:rsidRPr="00283B36" w:rsidRDefault="008E545F" w:rsidP="008E545F">
            <w:pPr>
              <w:spacing w:before="0" w:after="0" w:line="240" w:lineRule="auto"/>
              <w:jc w:val="center"/>
            </w:pPr>
            <w:r>
              <w:t>4.57</w:t>
            </w:r>
            <w:r w:rsidRPr="00283B36">
              <w:t xml:space="preserve"> ± </w:t>
            </w:r>
            <w:r>
              <w:t>1.09</w:t>
            </w:r>
          </w:p>
        </w:tc>
        <w:tc>
          <w:tcPr>
            <w:tcW w:w="2368" w:type="dxa"/>
            <w:vAlign w:val="center"/>
          </w:tcPr>
          <w:p w:rsidR="008E545F" w:rsidRPr="00E13ADE" w:rsidRDefault="008E545F" w:rsidP="008E545F">
            <w:pPr>
              <w:spacing w:before="0" w:after="0" w:line="240" w:lineRule="auto"/>
              <w:jc w:val="center"/>
            </w:pPr>
            <w:r>
              <w:t>4.40</w:t>
            </w:r>
            <w:r w:rsidRPr="00E13ADE">
              <w:t xml:space="preserve"> ± </w:t>
            </w:r>
            <w:r>
              <w:t>0.92</w:t>
            </w:r>
          </w:p>
        </w:tc>
      </w:tr>
      <w:tr w:rsidR="000B7D30" w:rsidRPr="000B7D30" w:rsidTr="008E545F">
        <w:trPr>
          <w:cantSplit/>
          <w:trHeight w:val="567"/>
        </w:trPr>
        <w:tc>
          <w:tcPr>
            <w:tcW w:w="2139" w:type="dxa"/>
            <w:shd w:val="clear" w:color="auto" w:fill="auto"/>
            <w:noWrap/>
            <w:vAlign w:val="center"/>
            <w:hideMark/>
          </w:tcPr>
          <w:p w:rsidR="008E545F" w:rsidRPr="00F1005C" w:rsidRDefault="008E545F" w:rsidP="000B7D30">
            <w:pPr>
              <w:spacing w:before="0" w:after="0" w:line="240" w:lineRule="auto"/>
              <w:jc w:val="left"/>
              <w:rPr>
                <w:rFonts w:eastAsia="Times New Roman"/>
              </w:rPr>
            </w:pPr>
            <w:r w:rsidRPr="00F1005C">
              <w:rPr>
                <w:rFonts w:eastAsia="Times New Roman"/>
              </w:rPr>
              <w:t>HCT</w:t>
            </w:r>
            <w:r w:rsidR="000B7D30" w:rsidRPr="000B7D30">
              <w:rPr>
                <w:rFonts w:eastAsia="Times New Roman"/>
              </w:rPr>
              <w:t xml:space="preserve"> </w:t>
            </w:r>
          </w:p>
        </w:tc>
        <w:tc>
          <w:tcPr>
            <w:tcW w:w="2510" w:type="dxa"/>
            <w:vAlign w:val="center"/>
          </w:tcPr>
          <w:p w:rsidR="008E545F" w:rsidRPr="000B7D30" w:rsidRDefault="008E545F" w:rsidP="008E545F">
            <w:pPr>
              <w:spacing w:before="0" w:after="0" w:line="240" w:lineRule="auto"/>
              <w:jc w:val="center"/>
            </w:pPr>
            <w:r w:rsidRPr="000B7D30">
              <w:t>0.416 ± 0.049</w:t>
            </w:r>
          </w:p>
        </w:tc>
        <w:tc>
          <w:tcPr>
            <w:tcW w:w="2548" w:type="dxa"/>
            <w:vAlign w:val="center"/>
          </w:tcPr>
          <w:p w:rsidR="008E545F" w:rsidRPr="000B7D30" w:rsidRDefault="008E545F" w:rsidP="008E545F">
            <w:pPr>
              <w:spacing w:before="0" w:after="0" w:line="240" w:lineRule="auto"/>
              <w:jc w:val="center"/>
            </w:pPr>
            <w:r w:rsidRPr="000B7D30">
              <w:t>0.381 ± 0.095</w:t>
            </w:r>
          </w:p>
        </w:tc>
        <w:tc>
          <w:tcPr>
            <w:tcW w:w="2368" w:type="dxa"/>
            <w:vAlign w:val="center"/>
          </w:tcPr>
          <w:p w:rsidR="008E545F" w:rsidRPr="000B7D30" w:rsidRDefault="008E545F" w:rsidP="008E545F">
            <w:pPr>
              <w:spacing w:before="0" w:after="0" w:line="240" w:lineRule="auto"/>
              <w:jc w:val="center"/>
            </w:pPr>
            <w:r w:rsidRPr="000B7D30">
              <w:t>0.365 ± 0.073</w:t>
            </w:r>
          </w:p>
        </w:tc>
      </w:tr>
      <w:tr w:rsidR="000B7D30" w:rsidRPr="000B7D30" w:rsidTr="008E545F">
        <w:trPr>
          <w:cantSplit/>
          <w:trHeight w:val="567"/>
        </w:trPr>
        <w:tc>
          <w:tcPr>
            <w:tcW w:w="2139" w:type="dxa"/>
            <w:shd w:val="clear" w:color="auto" w:fill="auto"/>
            <w:noWrap/>
            <w:vAlign w:val="center"/>
            <w:hideMark/>
          </w:tcPr>
          <w:p w:rsidR="008E545F" w:rsidRPr="00F1005C" w:rsidRDefault="008E545F" w:rsidP="008E545F">
            <w:pPr>
              <w:spacing w:before="0" w:after="0" w:line="240" w:lineRule="auto"/>
              <w:jc w:val="left"/>
              <w:rPr>
                <w:rFonts w:eastAsia="Times New Roman"/>
              </w:rPr>
            </w:pPr>
            <w:r w:rsidRPr="00F1005C">
              <w:rPr>
                <w:rFonts w:eastAsia="Times New Roman"/>
              </w:rPr>
              <w:t>MCV</w:t>
            </w:r>
            <w:r w:rsidR="000B7D30" w:rsidRPr="000B7D30">
              <w:rPr>
                <w:rFonts w:eastAsia="Times New Roman"/>
              </w:rPr>
              <w:t xml:space="preserve"> (fL)</w:t>
            </w:r>
          </w:p>
        </w:tc>
        <w:tc>
          <w:tcPr>
            <w:tcW w:w="2510" w:type="dxa"/>
            <w:vAlign w:val="center"/>
          </w:tcPr>
          <w:p w:rsidR="008E545F" w:rsidRPr="000B7D30" w:rsidRDefault="008E545F" w:rsidP="008E545F">
            <w:pPr>
              <w:spacing w:before="0" w:after="0" w:line="240" w:lineRule="auto"/>
              <w:jc w:val="center"/>
            </w:pPr>
            <w:r w:rsidRPr="000B7D30">
              <w:t>87.54 ± 3.47</w:t>
            </w:r>
          </w:p>
        </w:tc>
        <w:tc>
          <w:tcPr>
            <w:tcW w:w="2548" w:type="dxa"/>
            <w:vAlign w:val="center"/>
          </w:tcPr>
          <w:p w:rsidR="008E545F" w:rsidRPr="000B7D30" w:rsidRDefault="008E545F" w:rsidP="008E545F">
            <w:pPr>
              <w:spacing w:before="0" w:after="0" w:line="240" w:lineRule="auto"/>
              <w:jc w:val="center"/>
            </w:pPr>
            <w:r w:rsidRPr="000B7D30">
              <w:t>83.29 ± 3.46</w:t>
            </w:r>
          </w:p>
        </w:tc>
        <w:tc>
          <w:tcPr>
            <w:tcW w:w="2368" w:type="dxa"/>
            <w:vAlign w:val="center"/>
          </w:tcPr>
          <w:p w:rsidR="008E545F" w:rsidRPr="000B7D30" w:rsidRDefault="008E545F" w:rsidP="008E545F">
            <w:pPr>
              <w:spacing w:before="0" w:after="0" w:line="240" w:lineRule="auto"/>
              <w:jc w:val="center"/>
            </w:pPr>
            <w:r w:rsidRPr="000B7D30">
              <w:t>83.33 ± 3.92</w:t>
            </w:r>
          </w:p>
        </w:tc>
      </w:tr>
      <w:tr w:rsidR="000B7D30" w:rsidRPr="000B7D30" w:rsidTr="008E545F">
        <w:trPr>
          <w:cantSplit/>
          <w:trHeight w:val="567"/>
        </w:trPr>
        <w:tc>
          <w:tcPr>
            <w:tcW w:w="2139" w:type="dxa"/>
            <w:shd w:val="clear" w:color="auto" w:fill="auto"/>
            <w:noWrap/>
            <w:vAlign w:val="center"/>
            <w:hideMark/>
          </w:tcPr>
          <w:p w:rsidR="008E545F" w:rsidRPr="00F1005C" w:rsidRDefault="008E545F" w:rsidP="007D2714">
            <w:pPr>
              <w:spacing w:before="0" w:after="0" w:line="240" w:lineRule="auto"/>
              <w:jc w:val="left"/>
              <w:rPr>
                <w:rFonts w:eastAsia="Times New Roman"/>
              </w:rPr>
            </w:pPr>
            <w:r w:rsidRPr="00F1005C">
              <w:rPr>
                <w:rFonts w:eastAsia="Times New Roman"/>
              </w:rPr>
              <w:t>MCH</w:t>
            </w:r>
            <w:r w:rsidR="000B7D30" w:rsidRPr="000B7D30">
              <w:rPr>
                <w:rFonts w:eastAsia="Times New Roman"/>
              </w:rPr>
              <w:t xml:space="preserve"> (pg)</w:t>
            </w:r>
          </w:p>
        </w:tc>
        <w:tc>
          <w:tcPr>
            <w:tcW w:w="2510" w:type="dxa"/>
            <w:vAlign w:val="center"/>
          </w:tcPr>
          <w:p w:rsidR="008E545F" w:rsidRPr="000B7D30" w:rsidRDefault="008E545F" w:rsidP="008E545F">
            <w:pPr>
              <w:spacing w:before="0" w:after="0" w:line="240" w:lineRule="auto"/>
              <w:jc w:val="center"/>
            </w:pPr>
            <w:r w:rsidRPr="000B7D30">
              <w:t>29.6 ± 1.2</w:t>
            </w:r>
          </w:p>
        </w:tc>
        <w:tc>
          <w:tcPr>
            <w:tcW w:w="2548" w:type="dxa"/>
            <w:vAlign w:val="center"/>
          </w:tcPr>
          <w:p w:rsidR="008E545F" w:rsidRPr="000B7D30" w:rsidRDefault="008E545F" w:rsidP="008E545F">
            <w:pPr>
              <w:spacing w:before="0" w:after="0" w:line="240" w:lineRule="auto"/>
              <w:jc w:val="center"/>
            </w:pPr>
            <w:r w:rsidRPr="000B7D30">
              <w:t>30.1 ± 1.04</w:t>
            </w:r>
          </w:p>
        </w:tc>
        <w:tc>
          <w:tcPr>
            <w:tcW w:w="2368" w:type="dxa"/>
            <w:vAlign w:val="center"/>
          </w:tcPr>
          <w:p w:rsidR="008E545F" w:rsidRPr="000B7D30" w:rsidRDefault="008E545F" w:rsidP="008E545F">
            <w:pPr>
              <w:spacing w:before="0" w:after="0" w:line="240" w:lineRule="auto"/>
              <w:jc w:val="center"/>
            </w:pPr>
            <w:r w:rsidRPr="000B7D30">
              <w:t>30.3 ± 1.0</w:t>
            </w:r>
          </w:p>
        </w:tc>
      </w:tr>
      <w:tr w:rsidR="008E545F" w:rsidRPr="00F1005C" w:rsidTr="008E545F">
        <w:trPr>
          <w:cantSplit/>
          <w:trHeight w:val="567"/>
        </w:trPr>
        <w:tc>
          <w:tcPr>
            <w:tcW w:w="2139" w:type="dxa"/>
            <w:shd w:val="clear" w:color="auto" w:fill="auto"/>
            <w:noWrap/>
            <w:vAlign w:val="center"/>
            <w:hideMark/>
          </w:tcPr>
          <w:p w:rsidR="008E545F" w:rsidRPr="00F1005C" w:rsidRDefault="008E545F" w:rsidP="008E545F">
            <w:pPr>
              <w:spacing w:before="0" w:after="0" w:line="240" w:lineRule="auto"/>
              <w:jc w:val="left"/>
              <w:rPr>
                <w:rFonts w:eastAsia="Times New Roman"/>
                <w:color w:val="000000"/>
              </w:rPr>
            </w:pPr>
            <w:r w:rsidRPr="00F1005C">
              <w:rPr>
                <w:rFonts w:eastAsia="Times New Roman"/>
                <w:color w:val="000000"/>
              </w:rPr>
              <w:t>MCHC</w:t>
            </w:r>
            <w:r w:rsidR="007D2714">
              <w:rPr>
                <w:rFonts w:eastAsia="Times New Roman"/>
                <w:color w:val="000000"/>
              </w:rPr>
              <w:t xml:space="preserve"> (g/l)</w:t>
            </w:r>
          </w:p>
        </w:tc>
        <w:tc>
          <w:tcPr>
            <w:tcW w:w="2510" w:type="dxa"/>
            <w:vAlign w:val="center"/>
          </w:tcPr>
          <w:p w:rsidR="008E545F" w:rsidRPr="00F1005C" w:rsidRDefault="008E545F" w:rsidP="008E545F">
            <w:pPr>
              <w:spacing w:before="0" w:after="0" w:line="240" w:lineRule="auto"/>
              <w:jc w:val="center"/>
            </w:pPr>
            <w:r w:rsidRPr="00F1005C">
              <w:t>338 ± 3</w:t>
            </w:r>
          </w:p>
        </w:tc>
        <w:tc>
          <w:tcPr>
            <w:tcW w:w="2548" w:type="dxa"/>
            <w:vAlign w:val="center"/>
          </w:tcPr>
          <w:p w:rsidR="008E545F" w:rsidRPr="00283B36" w:rsidRDefault="008E545F" w:rsidP="008E545F">
            <w:pPr>
              <w:spacing w:before="0" w:after="0" w:line="240" w:lineRule="auto"/>
              <w:jc w:val="center"/>
            </w:pPr>
            <w:r>
              <w:t>362</w:t>
            </w:r>
            <w:r w:rsidRPr="00283B36">
              <w:t xml:space="preserve"> ± </w:t>
            </w:r>
            <w:r>
              <w:t>13</w:t>
            </w:r>
          </w:p>
        </w:tc>
        <w:tc>
          <w:tcPr>
            <w:tcW w:w="2368" w:type="dxa"/>
            <w:vAlign w:val="center"/>
          </w:tcPr>
          <w:p w:rsidR="008E545F" w:rsidRPr="00E13ADE" w:rsidRDefault="008E545F" w:rsidP="008E545F">
            <w:pPr>
              <w:spacing w:before="0" w:after="0" w:line="240" w:lineRule="auto"/>
              <w:jc w:val="center"/>
            </w:pPr>
            <w:r>
              <w:t>364</w:t>
            </w:r>
            <w:r w:rsidRPr="00E13ADE">
              <w:t xml:space="preserve"> ± </w:t>
            </w:r>
            <w:r>
              <w:t>9</w:t>
            </w:r>
          </w:p>
        </w:tc>
      </w:tr>
      <w:tr w:rsidR="008E545F" w:rsidRPr="00F1005C" w:rsidTr="008E545F">
        <w:trPr>
          <w:cantSplit/>
          <w:trHeight w:val="567"/>
        </w:trPr>
        <w:tc>
          <w:tcPr>
            <w:tcW w:w="2139" w:type="dxa"/>
            <w:shd w:val="clear" w:color="auto" w:fill="auto"/>
            <w:noWrap/>
            <w:vAlign w:val="center"/>
            <w:hideMark/>
          </w:tcPr>
          <w:p w:rsidR="008E545F" w:rsidRPr="00F1005C" w:rsidRDefault="008E545F" w:rsidP="008E545F">
            <w:pPr>
              <w:spacing w:before="0" w:after="0" w:line="240" w:lineRule="auto"/>
              <w:jc w:val="left"/>
              <w:rPr>
                <w:rFonts w:eastAsia="Times New Roman"/>
                <w:color w:val="1F497D" w:themeColor="text2"/>
              </w:rPr>
            </w:pPr>
            <w:r w:rsidRPr="00F1005C">
              <w:rPr>
                <w:rFonts w:eastAsia="Times New Roman"/>
                <w:color w:val="1F497D" w:themeColor="text2"/>
              </w:rPr>
              <w:t>neutrophils</w:t>
            </w:r>
          </w:p>
        </w:tc>
        <w:tc>
          <w:tcPr>
            <w:tcW w:w="2510" w:type="dxa"/>
            <w:vAlign w:val="center"/>
          </w:tcPr>
          <w:p w:rsidR="008E545F" w:rsidRPr="007D2714" w:rsidRDefault="008E545F" w:rsidP="008E545F">
            <w:pPr>
              <w:spacing w:before="0" w:after="0" w:line="240" w:lineRule="auto"/>
              <w:jc w:val="center"/>
              <w:rPr>
                <w:color w:val="1F497D" w:themeColor="text2"/>
              </w:rPr>
            </w:pPr>
            <w:r w:rsidRPr="007D2714">
              <w:rPr>
                <w:color w:val="1F497D" w:themeColor="text2"/>
              </w:rPr>
              <w:t>4.4 ± 1.4</w:t>
            </w:r>
          </w:p>
        </w:tc>
        <w:tc>
          <w:tcPr>
            <w:tcW w:w="2548" w:type="dxa"/>
            <w:vAlign w:val="center"/>
          </w:tcPr>
          <w:p w:rsidR="008E545F" w:rsidRPr="007D2714" w:rsidRDefault="008E545F" w:rsidP="008E545F">
            <w:pPr>
              <w:spacing w:before="0" w:after="0" w:line="240" w:lineRule="auto"/>
              <w:jc w:val="center"/>
              <w:rPr>
                <w:color w:val="1F497D" w:themeColor="text2"/>
              </w:rPr>
            </w:pPr>
            <w:r w:rsidRPr="007D2714">
              <w:rPr>
                <w:color w:val="1F497D" w:themeColor="text2"/>
              </w:rPr>
              <w:t>4.3 ± 1.0</w:t>
            </w:r>
          </w:p>
        </w:tc>
        <w:tc>
          <w:tcPr>
            <w:tcW w:w="2368" w:type="dxa"/>
            <w:vAlign w:val="center"/>
          </w:tcPr>
          <w:p w:rsidR="008E545F" w:rsidRPr="007D2714" w:rsidRDefault="008E545F" w:rsidP="008E545F">
            <w:pPr>
              <w:spacing w:before="0" w:after="0" w:line="240" w:lineRule="auto"/>
              <w:jc w:val="center"/>
              <w:rPr>
                <w:color w:val="1F497D" w:themeColor="text2"/>
              </w:rPr>
            </w:pPr>
            <w:r w:rsidRPr="007D2714">
              <w:rPr>
                <w:color w:val="1F497D" w:themeColor="text2"/>
              </w:rPr>
              <w:t>4.3 ± 1.1</w:t>
            </w:r>
          </w:p>
        </w:tc>
      </w:tr>
      <w:tr w:rsidR="008E545F" w:rsidRPr="00F1005C" w:rsidTr="008E545F">
        <w:trPr>
          <w:cantSplit/>
          <w:trHeight w:val="567"/>
        </w:trPr>
        <w:tc>
          <w:tcPr>
            <w:tcW w:w="2139" w:type="dxa"/>
            <w:shd w:val="clear" w:color="auto" w:fill="auto"/>
            <w:noWrap/>
            <w:vAlign w:val="center"/>
            <w:hideMark/>
          </w:tcPr>
          <w:p w:rsidR="008E545F" w:rsidRPr="00F1005C" w:rsidRDefault="008E545F" w:rsidP="008E545F">
            <w:pPr>
              <w:spacing w:before="0" w:after="0" w:line="240" w:lineRule="auto"/>
              <w:jc w:val="left"/>
              <w:rPr>
                <w:rFonts w:eastAsia="Times New Roman"/>
                <w:color w:val="1F497D" w:themeColor="text2"/>
              </w:rPr>
            </w:pPr>
            <w:r w:rsidRPr="00F1005C">
              <w:rPr>
                <w:rFonts w:eastAsia="Times New Roman"/>
                <w:color w:val="1F497D" w:themeColor="text2"/>
              </w:rPr>
              <w:t>lymphocytes</w:t>
            </w:r>
          </w:p>
        </w:tc>
        <w:tc>
          <w:tcPr>
            <w:tcW w:w="2510" w:type="dxa"/>
            <w:vAlign w:val="center"/>
          </w:tcPr>
          <w:p w:rsidR="008E545F" w:rsidRPr="007D2714" w:rsidRDefault="008E545F" w:rsidP="008E545F">
            <w:pPr>
              <w:spacing w:before="0" w:after="0" w:line="240" w:lineRule="auto"/>
              <w:jc w:val="center"/>
              <w:rPr>
                <w:color w:val="1F497D" w:themeColor="text2"/>
              </w:rPr>
            </w:pPr>
            <w:r w:rsidRPr="007D2714">
              <w:rPr>
                <w:color w:val="1F497D" w:themeColor="text2"/>
              </w:rPr>
              <w:t>2.2 ± 1.0</w:t>
            </w:r>
          </w:p>
        </w:tc>
        <w:tc>
          <w:tcPr>
            <w:tcW w:w="2548" w:type="dxa"/>
            <w:vAlign w:val="center"/>
          </w:tcPr>
          <w:p w:rsidR="008E545F" w:rsidRPr="007D2714" w:rsidRDefault="008E545F" w:rsidP="008E545F">
            <w:pPr>
              <w:spacing w:before="0" w:after="0" w:line="240" w:lineRule="auto"/>
              <w:jc w:val="center"/>
              <w:rPr>
                <w:color w:val="1F497D" w:themeColor="text2"/>
              </w:rPr>
            </w:pPr>
            <w:r w:rsidRPr="007D2714">
              <w:rPr>
                <w:color w:val="1F497D" w:themeColor="text2"/>
              </w:rPr>
              <w:t>2.3 ± 1.2</w:t>
            </w:r>
          </w:p>
        </w:tc>
        <w:tc>
          <w:tcPr>
            <w:tcW w:w="2368" w:type="dxa"/>
            <w:vAlign w:val="center"/>
          </w:tcPr>
          <w:p w:rsidR="008E545F" w:rsidRPr="007D2714" w:rsidRDefault="008E545F" w:rsidP="008E545F">
            <w:pPr>
              <w:spacing w:before="0" w:after="0" w:line="240" w:lineRule="auto"/>
              <w:jc w:val="center"/>
              <w:rPr>
                <w:color w:val="1F497D" w:themeColor="text2"/>
              </w:rPr>
            </w:pPr>
            <w:r w:rsidRPr="007D2714">
              <w:rPr>
                <w:color w:val="1F497D" w:themeColor="text2"/>
              </w:rPr>
              <w:t>2.8 ± 0.9</w:t>
            </w:r>
          </w:p>
        </w:tc>
      </w:tr>
      <w:tr w:rsidR="008E545F" w:rsidRPr="00F1005C" w:rsidTr="008E545F">
        <w:trPr>
          <w:cantSplit/>
          <w:trHeight w:val="567"/>
        </w:trPr>
        <w:tc>
          <w:tcPr>
            <w:tcW w:w="2139" w:type="dxa"/>
            <w:shd w:val="clear" w:color="auto" w:fill="auto"/>
            <w:noWrap/>
            <w:vAlign w:val="center"/>
            <w:hideMark/>
          </w:tcPr>
          <w:p w:rsidR="008E545F" w:rsidRPr="00F1005C" w:rsidRDefault="008E545F" w:rsidP="008E545F">
            <w:pPr>
              <w:spacing w:before="0" w:after="0" w:line="240" w:lineRule="auto"/>
              <w:jc w:val="left"/>
              <w:rPr>
                <w:rFonts w:eastAsia="Times New Roman"/>
                <w:color w:val="1F497D" w:themeColor="text2"/>
              </w:rPr>
            </w:pPr>
            <w:r w:rsidRPr="00F1005C">
              <w:rPr>
                <w:rFonts w:eastAsia="Times New Roman"/>
                <w:color w:val="1F497D" w:themeColor="text2"/>
              </w:rPr>
              <w:t>monocytes</w:t>
            </w:r>
          </w:p>
        </w:tc>
        <w:tc>
          <w:tcPr>
            <w:tcW w:w="2510" w:type="dxa"/>
            <w:vAlign w:val="center"/>
          </w:tcPr>
          <w:p w:rsidR="008E545F" w:rsidRPr="007D2714" w:rsidRDefault="008E545F" w:rsidP="008E545F">
            <w:pPr>
              <w:spacing w:before="0" w:after="0" w:line="240" w:lineRule="auto"/>
              <w:jc w:val="center"/>
              <w:rPr>
                <w:color w:val="1F497D" w:themeColor="text2"/>
              </w:rPr>
            </w:pPr>
            <w:r w:rsidRPr="007D2714">
              <w:rPr>
                <w:color w:val="1F497D" w:themeColor="text2"/>
              </w:rPr>
              <w:t>0.6 ± 0.2</w:t>
            </w:r>
          </w:p>
        </w:tc>
        <w:tc>
          <w:tcPr>
            <w:tcW w:w="2548" w:type="dxa"/>
            <w:vAlign w:val="center"/>
          </w:tcPr>
          <w:p w:rsidR="008E545F" w:rsidRPr="007D2714" w:rsidRDefault="008E545F" w:rsidP="008E545F">
            <w:pPr>
              <w:spacing w:before="0" w:after="0" w:line="240" w:lineRule="auto"/>
              <w:jc w:val="center"/>
              <w:rPr>
                <w:color w:val="1F497D" w:themeColor="text2"/>
              </w:rPr>
            </w:pPr>
            <w:r w:rsidRPr="007D2714">
              <w:rPr>
                <w:color w:val="1F497D" w:themeColor="text2"/>
              </w:rPr>
              <w:t>0.6 ± 0.3</w:t>
            </w:r>
          </w:p>
        </w:tc>
        <w:tc>
          <w:tcPr>
            <w:tcW w:w="2368" w:type="dxa"/>
            <w:vAlign w:val="center"/>
          </w:tcPr>
          <w:p w:rsidR="008E545F" w:rsidRPr="007D2714" w:rsidRDefault="008E545F" w:rsidP="008E545F">
            <w:pPr>
              <w:spacing w:before="0" w:after="0" w:line="240" w:lineRule="auto"/>
              <w:jc w:val="center"/>
              <w:rPr>
                <w:color w:val="1F497D" w:themeColor="text2"/>
              </w:rPr>
            </w:pPr>
            <w:r w:rsidRPr="007D2714">
              <w:rPr>
                <w:color w:val="1F497D" w:themeColor="text2"/>
              </w:rPr>
              <w:t>0.7 ± 0.3</w:t>
            </w:r>
          </w:p>
        </w:tc>
      </w:tr>
      <w:tr w:rsidR="008E545F" w:rsidRPr="00F1005C" w:rsidTr="008E545F">
        <w:trPr>
          <w:cantSplit/>
          <w:trHeight w:val="567"/>
        </w:trPr>
        <w:tc>
          <w:tcPr>
            <w:tcW w:w="2139" w:type="dxa"/>
            <w:shd w:val="clear" w:color="auto" w:fill="auto"/>
            <w:noWrap/>
            <w:vAlign w:val="center"/>
            <w:hideMark/>
          </w:tcPr>
          <w:p w:rsidR="008E545F" w:rsidRPr="00F1005C" w:rsidRDefault="008E545F" w:rsidP="008E545F">
            <w:pPr>
              <w:spacing w:before="0" w:after="0" w:line="240" w:lineRule="auto"/>
              <w:jc w:val="left"/>
              <w:rPr>
                <w:rFonts w:eastAsia="Times New Roman"/>
                <w:color w:val="1F497D" w:themeColor="text2"/>
              </w:rPr>
            </w:pPr>
            <w:r w:rsidRPr="00F1005C">
              <w:rPr>
                <w:rFonts w:eastAsia="Times New Roman"/>
                <w:color w:val="1F497D" w:themeColor="text2"/>
              </w:rPr>
              <w:t>eosinophils</w:t>
            </w:r>
          </w:p>
        </w:tc>
        <w:tc>
          <w:tcPr>
            <w:tcW w:w="2510" w:type="dxa"/>
            <w:vAlign w:val="center"/>
          </w:tcPr>
          <w:p w:rsidR="008E545F" w:rsidRPr="007D2714" w:rsidRDefault="008E545F" w:rsidP="008E545F">
            <w:pPr>
              <w:spacing w:before="0" w:after="0" w:line="240" w:lineRule="auto"/>
              <w:jc w:val="center"/>
              <w:rPr>
                <w:color w:val="1F497D" w:themeColor="text2"/>
              </w:rPr>
            </w:pPr>
            <w:r w:rsidRPr="007D2714">
              <w:rPr>
                <w:color w:val="1F497D" w:themeColor="text2"/>
              </w:rPr>
              <w:t>0.1 ± 0.1</w:t>
            </w:r>
          </w:p>
        </w:tc>
        <w:tc>
          <w:tcPr>
            <w:tcW w:w="2548" w:type="dxa"/>
            <w:vAlign w:val="center"/>
          </w:tcPr>
          <w:p w:rsidR="008E545F" w:rsidRPr="007D2714" w:rsidRDefault="008E545F" w:rsidP="008E545F">
            <w:pPr>
              <w:spacing w:before="0" w:after="0" w:line="240" w:lineRule="auto"/>
              <w:jc w:val="center"/>
              <w:rPr>
                <w:color w:val="1F497D" w:themeColor="text2"/>
              </w:rPr>
            </w:pPr>
            <w:r w:rsidRPr="007D2714">
              <w:rPr>
                <w:color w:val="1F497D" w:themeColor="text2"/>
              </w:rPr>
              <w:t>0.1 ± 0.1</w:t>
            </w:r>
          </w:p>
        </w:tc>
        <w:tc>
          <w:tcPr>
            <w:tcW w:w="2368" w:type="dxa"/>
            <w:vAlign w:val="center"/>
          </w:tcPr>
          <w:p w:rsidR="008E545F" w:rsidRPr="007D2714" w:rsidRDefault="008E545F" w:rsidP="008E545F">
            <w:pPr>
              <w:spacing w:before="0" w:after="0" w:line="240" w:lineRule="auto"/>
              <w:jc w:val="center"/>
              <w:rPr>
                <w:color w:val="1F497D" w:themeColor="text2"/>
              </w:rPr>
            </w:pPr>
            <w:r w:rsidRPr="007D2714">
              <w:rPr>
                <w:color w:val="1F497D" w:themeColor="text2"/>
              </w:rPr>
              <w:t>0.2 ± 0.1</w:t>
            </w:r>
          </w:p>
        </w:tc>
      </w:tr>
      <w:tr w:rsidR="008E545F" w:rsidRPr="00F1005C" w:rsidTr="008E545F">
        <w:trPr>
          <w:cantSplit/>
          <w:trHeight w:val="567"/>
        </w:trPr>
        <w:tc>
          <w:tcPr>
            <w:tcW w:w="2139" w:type="dxa"/>
            <w:shd w:val="clear" w:color="auto" w:fill="auto"/>
            <w:noWrap/>
            <w:vAlign w:val="center"/>
            <w:hideMark/>
          </w:tcPr>
          <w:p w:rsidR="008E545F" w:rsidRPr="00F1005C" w:rsidRDefault="008E545F" w:rsidP="008E545F">
            <w:pPr>
              <w:spacing w:before="0" w:after="0" w:line="240" w:lineRule="auto"/>
              <w:jc w:val="left"/>
              <w:rPr>
                <w:rFonts w:eastAsia="Times New Roman"/>
                <w:color w:val="1F497D" w:themeColor="text2"/>
              </w:rPr>
            </w:pPr>
            <w:r w:rsidRPr="00F1005C">
              <w:rPr>
                <w:rFonts w:eastAsia="Times New Roman"/>
                <w:color w:val="1F497D" w:themeColor="text2"/>
              </w:rPr>
              <w:t>basophils</w:t>
            </w:r>
          </w:p>
        </w:tc>
        <w:tc>
          <w:tcPr>
            <w:tcW w:w="2510" w:type="dxa"/>
            <w:vAlign w:val="center"/>
          </w:tcPr>
          <w:p w:rsidR="008E545F" w:rsidRPr="007D2714" w:rsidRDefault="008E545F" w:rsidP="008E545F">
            <w:pPr>
              <w:spacing w:before="0" w:after="0" w:line="240" w:lineRule="auto"/>
              <w:jc w:val="center"/>
              <w:rPr>
                <w:color w:val="1F497D" w:themeColor="text2"/>
              </w:rPr>
            </w:pPr>
            <w:r w:rsidRPr="007D2714">
              <w:rPr>
                <w:color w:val="1F497D" w:themeColor="text2"/>
              </w:rPr>
              <w:t>0.0 ± 0.0</w:t>
            </w:r>
          </w:p>
        </w:tc>
        <w:tc>
          <w:tcPr>
            <w:tcW w:w="2548" w:type="dxa"/>
            <w:vAlign w:val="center"/>
          </w:tcPr>
          <w:p w:rsidR="008E545F" w:rsidRPr="007D2714" w:rsidRDefault="008E545F" w:rsidP="008E545F">
            <w:pPr>
              <w:spacing w:before="0" w:after="0" w:line="240" w:lineRule="auto"/>
              <w:jc w:val="center"/>
              <w:rPr>
                <w:color w:val="1F497D" w:themeColor="text2"/>
              </w:rPr>
            </w:pPr>
            <w:r w:rsidRPr="007D2714">
              <w:rPr>
                <w:color w:val="1F497D" w:themeColor="text2"/>
              </w:rPr>
              <w:t>0.0 ± 0.0</w:t>
            </w:r>
          </w:p>
        </w:tc>
        <w:tc>
          <w:tcPr>
            <w:tcW w:w="2368" w:type="dxa"/>
            <w:vAlign w:val="center"/>
          </w:tcPr>
          <w:p w:rsidR="008E545F" w:rsidRPr="007D2714" w:rsidRDefault="008E545F" w:rsidP="008E545F">
            <w:pPr>
              <w:spacing w:before="0" w:after="0" w:line="240" w:lineRule="auto"/>
              <w:jc w:val="center"/>
              <w:rPr>
                <w:color w:val="1F497D" w:themeColor="text2"/>
              </w:rPr>
            </w:pPr>
            <w:r w:rsidRPr="007D2714">
              <w:rPr>
                <w:color w:val="1F497D" w:themeColor="text2"/>
              </w:rPr>
              <w:t>0.1 ± 0.1</w:t>
            </w:r>
          </w:p>
        </w:tc>
      </w:tr>
    </w:tbl>
    <w:p w:rsidR="00B13330" w:rsidRDefault="00B13330" w:rsidP="003B1C39">
      <w:pPr>
        <w:pStyle w:val="FigureCaption0"/>
      </w:pPr>
    </w:p>
    <w:p w:rsidR="008E545F" w:rsidRDefault="008E545F">
      <w:pPr>
        <w:rPr>
          <w:b/>
        </w:rPr>
      </w:pPr>
      <w:r>
        <w:br w:type="page"/>
      </w:r>
    </w:p>
    <w:p w:rsidR="000B7D30" w:rsidRDefault="000B7D30" w:rsidP="000B7D30">
      <w:pPr>
        <w:pStyle w:val="Tablecaption"/>
      </w:pPr>
      <w:r>
        <w:lastRenderedPageBreak/>
        <w:t xml:space="preserve">Table </w:t>
      </w:r>
      <w:r w:rsidR="00184BC9">
        <w:fldChar w:fldCharType="begin"/>
      </w:r>
      <w:r w:rsidR="00184BC9">
        <w:instrText xml:space="preserve"> SEQ Table \* ARABIC </w:instrText>
      </w:r>
      <w:r w:rsidR="00184BC9">
        <w:fldChar w:fldCharType="separate"/>
      </w:r>
      <w:r w:rsidR="00810F93">
        <w:rPr>
          <w:noProof/>
        </w:rPr>
        <w:t>2</w:t>
      </w:r>
      <w:r w:rsidR="00184BC9">
        <w:rPr>
          <w:noProof/>
        </w:rPr>
        <w:fldChar w:fldCharType="end"/>
      </w:r>
      <w:r>
        <w:t xml:space="preserve"> Urea and Electrolyte level of the</w:t>
      </w:r>
      <w:r w:rsidRPr="000B7D30">
        <w:t xml:space="preserve"> </w:t>
      </w:r>
      <w:r>
        <w:t xml:space="preserve">donor blood before and after 60 minutes of perfusion through AC monolith (Monolith) and Tubing control (Tubing). </w:t>
      </w:r>
    </w:p>
    <w:tbl>
      <w:tblPr>
        <w:tblStyle w:val="TableGrid"/>
        <w:tblW w:w="10195" w:type="dxa"/>
        <w:tblLook w:val="04A0" w:firstRow="1" w:lastRow="0" w:firstColumn="1" w:lastColumn="0" w:noHBand="0" w:noVBand="1"/>
      </w:tblPr>
      <w:tblGrid>
        <w:gridCol w:w="2316"/>
        <w:gridCol w:w="1969"/>
        <w:gridCol w:w="1970"/>
        <w:gridCol w:w="1970"/>
        <w:gridCol w:w="1970"/>
      </w:tblGrid>
      <w:tr w:rsidR="00C360F3" w:rsidTr="00810F93">
        <w:trPr>
          <w:trHeight w:val="637"/>
        </w:trPr>
        <w:tc>
          <w:tcPr>
            <w:tcW w:w="2316" w:type="dxa"/>
          </w:tcPr>
          <w:p w:rsidR="00C360F3" w:rsidRPr="00CC7364" w:rsidRDefault="00C360F3" w:rsidP="00D737DD"/>
        </w:tc>
        <w:tc>
          <w:tcPr>
            <w:tcW w:w="1969" w:type="dxa"/>
            <w:vAlign w:val="center"/>
          </w:tcPr>
          <w:p w:rsidR="00C360F3" w:rsidRPr="00CC7364" w:rsidRDefault="00C360F3" w:rsidP="00DC7FAE">
            <w:pPr>
              <w:jc w:val="center"/>
            </w:pPr>
            <w:r w:rsidRPr="00CC7364">
              <w:t>Pre-perfusion</w:t>
            </w:r>
          </w:p>
        </w:tc>
        <w:tc>
          <w:tcPr>
            <w:tcW w:w="1970" w:type="dxa"/>
            <w:vAlign w:val="center"/>
          </w:tcPr>
          <w:p w:rsidR="00C360F3" w:rsidRPr="00CC7364" w:rsidRDefault="00C360F3" w:rsidP="00DC7FAE">
            <w:pPr>
              <w:jc w:val="center"/>
            </w:pPr>
            <w:r w:rsidRPr="00CC7364">
              <w:t>Monolith</w:t>
            </w:r>
          </w:p>
        </w:tc>
        <w:tc>
          <w:tcPr>
            <w:tcW w:w="1970" w:type="dxa"/>
            <w:vAlign w:val="center"/>
          </w:tcPr>
          <w:p w:rsidR="00C360F3" w:rsidRDefault="00C360F3" w:rsidP="00DC7FAE">
            <w:pPr>
              <w:jc w:val="center"/>
            </w:pPr>
            <w:r w:rsidRPr="00CC7364">
              <w:t>Tubing</w:t>
            </w:r>
          </w:p>
        </w:tc>
        <w:tc>
          <w:tcPr>
            <w:tcW w:w="1970" w:type="dxa"/>
            <w:vAlign w:val="center"/>
          </w:tcPr>
          <w:p w:rsidR="00C360F3" w:rsidRPr="00CC7364" w:rsidRDefault="00C360F3" w:rsidP="00C360F3">
            <w:pPr>
              <w:jc w:val="center"/>
            </w:pPr>
            <w:r>
              <w:t>Normal range</w:t>
            </w:r>
          </w:p>
        </w:tc>
      </w:tr>
      <w:tr w:rsidR="00C360F3" w:rsidTr="00810F93">
        <w:trPr>
          <w:trHeight w:val="637"/>
        </w:trPr>
        <w:tc>
          <w:tcPr>
            <w:tcW w:w="2316" w:type="dxa"/>
            <w:vAlign w:val="center"/>
          </w:tcPr>
          <w:p w:rsidR="00C360F3" w:rsidRPr="00C360F3" w:rsidRDefault="00C360F3" w:rsidP="00DC7FAE">
            <w:pPr>
              <w:jc w:val="left"/>
              <w:rPr>
                <w:color w:val="000000" w:themeColor="text1"/>
              </w:rPr>
            </w:pPr>
            <w:r w:rsidRPr="00C360F3">
              <w:rPr>
                <w:color w:val="000000" w:themeColor="text1"/>
              </w:rPr>
              <w:t>Sodium (</w:t>
            </w:r>
            <w:r w:rsidRPr="00C360F3">
              <w:rPr>
                <w:color w:val="000000" w:themeColor="text1"/>
                <w:lang w:eastAsia="en-GB"/>
              </w:rPr>
              <w:t>mmol/L)</w:t>
            </w:r>
          </w:p>
        </w:tc>
        <w:tc>
          <w:tcPr>
            <w:tcW w:w="1969" w:type="dxa"/>
            <w:vAlign w:val="center"/>
          </w:tcPr>
          <w:p w:rsidR="00C360F3" w:rsidRPr="00253D66" w:rsidRDefault="00C360F3" w:rsidP="00DC7FAE">
            <w:pPr>
              <w:jc w:val="center"/>
            </w:pPr>
            <w:r w:rsidRPr="00253D66">
              <w:t>139 ± 2</w:t>
            </w:r>
          </w:p>
        </w:tc>
        <w:tc>
          <w:tcPr>
            <w:tcW w:w="1970" w:type="dxa"/>
            <w:vAlign w:val="center"/>
          </w:tcPr>
          <w:p w:rsidR="00C360F3" w:rsidRPr="00C94FDD" w:rsidRDefault="00C360F3" w:rsidP="00DC7FAE">
            <w:pPr>
              <w:jc w:val="center"/>
              <w:rPr>
                <w:rFonts w:eastAsia="Times New Roman"/>
              </w:rPr>
            </w:pPr>
            <w:r w:rsidRPr="00C94FDD">
              <w:rPr>
                <w:rFonts w:eastAsia="Times New Roman"/>
              </w:rPr>
              <w:t>139.7 ± 0.6</w:t>
            </w:r>
          </w:p>
        </w:tc>
        <w:tc>
          <w:tcPr>
            <w:tcW w:w="1970" w:type="dxa"/>
            <w:vAlign w:val="center"/>
          </w:tcPr>
          <w:p w:rsidR="00C360F3" w:rsidRPr="00294574" w:rsidRDefault="00C360F3" w:rsidP="00DC7FAE">
            <w:pPr>
              <w:jc w:val="center"/>
              <w:rPr>
                <w:rFonts w:eastAsia="Times New Roman"/>
              </w:rPr>
            </w:pPr>
            <w:r w:rsidRPr="00294574">
              <w:rPr>
                <w:rFonts w:eastAsia="Times New Roman"/>
              </w:rPr>
              <w:t>137.0 ± 1.7</w:t>
            </w:r>
          </w:p>
        </w:tc>
        <w:tc>
          <w:tcPr>
            <w:tcW w:w="1970" w:type="dxa"/>
            <w:vAlign w:val="center"/>
          </w:tcPr>
          <w:p w:rsidR="00C360F3" w:rsidRPr="00294574" w:rsidRDefault="00C360F3" w:rsidP="00C360F3">
            <w:pPr>
              <w:jc w:val="center"/>
              <w:rPr>
                <w:rFonts w:eastAsia="Times New Roman"/>
              </w:rPr>
            </w:pPr>
            <w:r w:rsidRPr="007555FD">
              <w:rPr>
                <w:lang w:eastAsia="en-GB"/>
              </w:rPr>
              <w:t>135-146</w:t>
            </w:r>
          </w:p>
        </w:tc>
      </w:tr>
      <w:tr w:rsidR="00C360F3" w:rsidTr="00810F93">
        <w:trPr>
          <w:trHeight w:val="567"/>
        </w:trPr>
        <w:tc>
          <w:tcPr>
            <w:tcW w:w="2316" w:type="dxa"/>
            <w:vAlign w:val="center"/>
          </w:tcPr>
          <w:p w:rsidR="00C360F3" w:rsidRPr="00C360F3" w:rsidRDefault="00C360F3" w:rsidP="00DC7FAE">
            <w:pPr>
              <w:jc w:val="left"/>
              <w:rPr>
                <w:color w:val="000000" w:themeColor="text1"/>
              </w:rPr>
            </w:pPr>
            <w:r w:rsidRPr="00C360F3">
              <w:rPr>
                <w:color w:val="000000" w:themeColor="text1"/>
              </w:rPr>
              <w:t>Potassium (</w:t>
            </w:r>
            <w:r w:rsidRPr="00C360F3">
              <w:rPr>
                <w:color w:val="000000" w:themeColor="text1"/>
                <w:lang w:eastAsia="en-GB"/>
              </w:rPr>
              <w:t>mmol/L)</w:t>
            </w:r>
          </w:p>
        </w:tc>
        <w:tc>
          <w:tcPr>
            <w:tcW w:w="1969" w:type="dxa"/>
            <w:vAlign w:val="center"/>
          </w:tcPr>
          <w:p w:rsidR="00C360F3" w:rsidRPr="00253D66" w:rsidRDefault="00C360F3" w:rsidP="00DC7FAE">
            <w:pPr>
              <w:jc w:val="center"/>
            </w:pPr>
            <w:r w:rsidRPr="00253D66">
              <w:t>4.2 ± 0.2</w:t>
            </w:r>
          </w:p>
        </w:tc>
        <w:tc>
          <w:tcPr>
            <w:tcW w:w="1970" w:type="dxa"/>
            <w:vAlign w:val="center"/>
          </w:tcPr>
          <w:p w:rsidR="00C360F3" w:rsidRPr="00C94FDD" w:rsidRDefault="00C360F3" w:rsidP="00DC7FAE">
            <w:pPr>
              <w:jc w:val="center"/>
              <w:rPr>
                <w:rFonts w:eastAsia="Times New Roman"/>
              </w:rPr>
            </w:pPr>
            <w:r w:rsidRPr="00C94FDD">
              <w:rPr>
                <w:rFonts w:eastAsia="Times New Roman"/>
              </w:rPr>
              <w:t>4.1 ± 0.1</w:t>
            </w:r>
          </w:p>
        </w:tc>
        <w:tc>
          <w:tcPr>
            <w:tcW w:w="1970" w:type="dxa"/>
            <w:vAlign w:val="center"/>
          </w:tcPr>
          <w:p w:rsidR="00C360F3" w:rsidRPr="00294574" w:rsidRDefault="00C360F3" w:rsidP="00DC7FAE">
            <w:pPr>
              <w:jc w:val="center"/>
              <w:rPr>
                <w:rFonts w:eastAsia="Times New Roman"/>
              </w:rPr>
            </w:pPr>
            <w:r>
              <w:rPr>
                <w:rFonts w:eastAsia="Times New Roman"/>
              </w:rPr>
              <w:t>4.5</w:t>
            </w:r>
            <w:r w:rsidRPr="00294574">
              <w:rPr>
                <w:rFonts w:eastAsia="Times New Roman"/>
              </w:rPr>
              <w:t xml:space="preserve"> ± 0.2</w:t>
            </w:r>
          </w:p>
        </w:tc>
        <w:tc>
          <w:tcPr>
            <w:tcW w:w="1970" w:type="dxa"/>
            <w:vAlign w:val="center"/>
          </w:tcPr>
          <w:p w:rsidR="00C360F3" w:rsidRDefault="00C360F3" w:rsidP="00C360F3">
            <w:pPr>
              <w:jc w:val="center"/>
              <w:rPr>
                <w:rFonts w:eastAsia="Times New Roman"/>
              </w:rPr>
            </w:pPr>
            <w:r w:rsidRPr="007555FD">
              <w:rPr>
                <w:color w:val="000000"/>
              </w:rPr>
              <w:t>3.2-5.1</w:t>
            </w:r>
          </w:p>
        </w:tc>
      </w:tr>
      <w:tr w:rsidR="00C360F3" w:rsidTr="00810F93">
        <w:trPr>
          <w:trHeight w:val="637"/>
        </w:trPr>
        <w:tc>
          <w:tcPr>
            <w:tcW w:w="2316" w:type="dxa"/>
            <w:vAlign w:val="center"/>
          </w:tcPr>
          <w:p w:rsidR="00C360F3" w:rsidRPr="00C360F3" w:rsidRDefault="00C360F3" w:rsidP="00DC7FAE">
            <w:pPr>
              <w:jc w:val="left"/>
              <w:rPr>
                <w:color w:val="000000" w:themeColor="text1"/>
              </w:rPr>
            </w:pPr>
            <w:r w:rsidRPr="00C360F3">
              <w:rPr>
                <w:color w:val="000000" w:themeColor="text1"/>
              </w:rPr>
              <w:t>Urea (</w:t>
            </w:r>
            <w:r w:rsidRPr="00C360F3">
              <w:rPr>
                <w:color w:val="000000" w:themeColor="text1"/>
                <w:lang w:eastAsia="en-GB"/>
              </w:rPr>
              <w:t>mmol/L)</w:t>
            </w:r>
          </w:p>
        </w:tc>
        <w:tc>
          <w:tcPr>
            <w:tcW w:w="1969" w:type="dxa"/>
            <w:vAlign w:val="center"/>
          </w:tcPr>
          <w:p w:rsidR="00C360F3" w:rsidRPr="00253D66" w:rsidRDefault="00C360F3" w:rsidP="00DC7FAE">
            <w:pPr>
              <w:jc w:val="center"/>
            </w:pPr>
            <w:r w:rsidRPr="00253D66">
              <w:t>4.8 ± 1.8</w:t>
            </w:r>
          </w:p>
        </w:tc>
        <w:tc>
          <w:tcPr>
            <w:tcW w:w="1970" w:type="dxa"/>
            <w:vAlign w:val="center"/>
          </w:tcPr>
          <w:p w:rsidR="00C360F3" w:rsidRPr="00C94FDD" w:rsidRDefault="00C360F3" w:rsidP="00DC7FAE">
            <w:pPr>
              <w:jc w:val="center"/>
              <w:rPr>
                <w:rFonts w:eastAsia="Times New Roman"/>
              </w:rPr>
            </w:pPr>
            <w:r w:rsidRPr="00C94FDD">
              <w:rPr>
                <w:rFonts w:eastAsia="Times New Roman"/>
              </w:rPr>
              <w:t>3.8 ± 1.4</w:t>
            </w:r>
          </w:p>
        </w:tc>
        <w:tc>
          <w:tcPr>
            <w:tcW w:w="1970" w:type="dxa"/>
            <w:vAlign w:val="center"/>
          </w:tcPr>
          <w:p w:rsidR="00C360F3" w:rsidRPr="00294574" w:rsidRDefault="00C360F3" w:rsidP="00DC7FAE">
            <w:pPr>
              <w:jc w:val="center"/>
              <w:rPr>
                <w:rFonts w:eastAsia="Times New Roman"/>
              </w:rPr>
            </w:pPr>
            <w:r>
              <w:rPr>
                <w:rFonts w:eastAsia="Times New Roman"/>
              </w:rPr>
              <w:t>4.8</w:t>
            </w:r>
            <w:r w:rsidRPr="00294574">
              <w:rPr>
                <w:rFonts w:eastAsia="Times New Roman"/>
              </w:rPr>
              <w:t xml:space="preserve"> ± 1.7</w:t>
            </w:r>
          </w:p>
        </w:tc>
        <w:tc>
          <w:tcPr>
            <w:tcW w:w="1970" w:type="dxa"/>
            <w:vAlign w:val="center"/>
          </w:tcPr>
          <w:p w:rsidR="00C360F3" w:rsidRDefault="00C360F3" w:rsidP="00C360F3">
            <w:pPr>
              <w:jc w:val="center"/>
              <w:rPr>
                <w:rFonts w:eastAsia="Times New Roman"/>
              </w:rPr>
            </w:pPr>
            <w:r w:rsidRPr="007555FD">
              <w:rPr>
                <w:color w:val="000000"/>
              </w:rPr>
              <w:t>1.7-8.3</w:t>
            </w:r>
          </w:p>
        </w:tc>
      </w:tr>
      <w:tr w:rsidR="00C360F3" w:rsidTr="00810F93">
        <w:trPr>
          <w:trHeight w:val="567"/>
        </w:trPr>
        <w:tc>
          <w:tcPr>
            <w:tcW w:w="2316" w:type="dxa"/>
            <w:vAlign w:val="center"/>
          </w:tcPr>
          <w:p w:rsidR="00C360F3" w:rsidRPr="00C360F3" w:rsidRDefault="00C360F3" w:rsidP="00DC7FAE">
            <w:pPr>
              <w:jc w:val="left"/>
              <w:rPr>
                <w:color w:val="000000" w:themeColor="text1"/>
              </w:rPr>
            </w:pPr>
            <w:r w:rsidRPr="00C360F3">
              <w:rPr>
                <w:color w:val="000000" w:themeColor="text1"/>
              </w:rPr>
              <w:t>Creatine ((</w:t>
            </w:r>
            <w:r w:rsidRPr="00C360F3">
              <w:rPr>
                <w:color w:val="000000" w:themeColor="text1"/>
                <w:lang w:eastAsia="en-GB"/>
              </w:rPr>
              <w:t>mmol/L)</w:t>
            </w:r>
            <w:r w:rsidRPr="00C360F3">
              <w:rPr>
                <w:color w:val="000000" w:themeColor="text1"/>
              </w:rPr>
              <w:t>)</w:t>
            </w:r>
          </w:p>
        </w:tc>
        <w:tc>
          <w:tcPr>
            <w:tcW w:w="1969" w:type="dxa"/>
            <w:vAlign w:val="center"/>
          </w:tcPr>
          <w:p w:rsidR="00C360F3" w:rsidRPr="00253D66" w:rsidRDefault="00C360F3" w:rsidP="00DC7FAE">
            <w:pPr>
              <w:jc w:val="center"/>
            </w:pPr>
            <w:r w:rsidRPr="00253D66">
              <w:t>66.7 ± 13.6</w:t>
            </w:r>
          </w:p>
        </w:tc>
        <w:tc>
          <w:tcPr>
            <w:tcW w:w="1970" w:type="dxa"/>
            <w:vAlign w:val="center"/>
          </w:tcPr>
          <w:p w:rsidR="00C360F3" w:rsidRPr="00C94FDD" w:rsidRDefault="00C360F3" w:rsidP="00DC7FAE">
            <w:pPr>
              <w:jc w:val="center"/>
              <w:rPr>
                <w:rFonts w:eastAsia="Times New Roman"/>
              </w:rPr>
            </w:pPr>
            <w:r w:rsidRPr="00C94FDD">
              <w:rPr>
                <w:rFonts w:eastAsia="Times New Roman"/>
              </w:rPr>
              <w:t>17.7 ± 5.0</w:t>
            </w:r>
          </w:p>
        </w:tc>
        <w:tc>
          <w:tcPr>
            <w:tcW w:w="1970" w:type="dxa"/>
            <w:vAlign w:val="center"/>
          </w:tcPr>
          <w:p w:rsidR="00C360F3" w:rsidRPr="00294574" w:rsidRDefault="00C360F3" w:rsidP="00DC7FAE">
            <w:pPr>
              <w:jc w:val="center"/>
              <w:rPr>
                <w:rFonts w:eastAsia="Times New Roman"/>
              </w:rPr>
            </w:pPr>
            <w:r w:rsidRPr="00294574">
              <w:rPr>
                <w:rFonts w:eastAsia="Times New Roman"/>
              </w:rPr>
              <w:t>69.</w:t>
            </w:r>
            <w:r>
              <w:rPr>
                <w:rFonts w:eastAsia="Times New Roman"/>
              </w:rPr>
              <w:t>0</w:t>
            </w:r>
            <w:r w:rsidRPr="00294574">
              <w:rPr>
                <w:rFonts w:eastAsia="Times New Roman"/>
              </w:rPr>
              <w:t xml:space="preserve"> ± 14.7</w:t>
            </w:r>
          </w:p>
        </w:tc>
        <w:tc>
          <w:tcPr>
            <w:tcW w:w="1970" w:type="dxa"/>
            <w:vAlign w:val="center"/>
          </w:tcPr>
          <w:p w:rsidR="00C360F3" w:rsidRPr="00294574" w:rsidRDefault="00C360F3" w:rsidP="00C360F3">
            <w:pPr>
              <w:jc w:val="center"/>
              <w:rPr>
                <w:rFonts w:eastAsia="Times New Roman"/>
              </w:rPr>
            </w:pPr>
            <w:r w:rsidRPr="007555FD">
              <w:rPr>
                <w:color w:val="000000"/>
              </w:rPr>
              <w:t>62-106</w:t>
            </w:r>
          </w:p>
        </w:tc>
      </w:tr>
      <w:tr w:rsidR="00C360F3" w:rsidTr="00810F93">
        <w:trPr>
          <w:trHeight w:val="637"/>
        </w:trPr>
        <w:tc>
          <w:tcPr>
            <w:tcW w:w="2316" w:type="dxa"/>
            <w:vAlign w:val="center"/>
          </w:tcPr>
          <w:p w:rsidR="00C360F3" w:rsidRPr="00C360F3" w:rsidRDefault="00C360F3" w:rsidP="00DC7FAE">
            <w:pPr>
              <w:jc w:val="left"/>
              <w:rPr>
                <w:color w:val="000000" w:themeColor="text1"/>
              </w:rPr>
            </w:pPr>
            <w:r w:rsidRPr="00C360F3">
              <w:rPr>
                <w:color w:val="000000" w:themeColor="text1"/>
              </w:rPr>
              <w:t>Total protein (g/l)</w:t>
            </w:r>
          </w:p>
        </w:tc>
        <w:tc>
          <w:tcPr>
            <w:tcW w:w="1969" w:type="dxa"/>
            <w:vAlign w:val="center"/>
          </w:tcPr>
          <w:p w:rsidR="00C360F3" w:rsidRPr="00253D66" w:rsidRDefault="00C360F3" w:rsidP="00DC7FAE">
            <w:pPr>
              <w:jc w:val="center"/>
            </w:pPr>
            <w:r w:rsidRPr="00253D66">
              <w:t>75.7 ± 2.5</w:t>
            </w:r>
          </w:p>
        </w:tc>
        <w:tc>
          <w:tcPr>
            <w:tcW w:w="1970" w:type="dxa"/>
            <w:vAlign w:val="center"/>
          </w:tcPr>
          <w:p w:rsidR="00C360F3" w:rsidRPr="00C94FDD" w:rsidRDefault="00C360F3" w:rsidP="00DC7FAE">
            <w:pPr>
              <w:jc w:val="center"/>
              <w:rPr>
                <w:rFonts w:eastAsia="Times New Roman"/>
              </w:rPr>
            </w:pPr>
            <w:r w:rsidRPr="00C94FDD">
              <w:rPr>
                <w:rFonts w:eastAsia="Times New Roman"/>
              </w:rPr>
              <w:t>64 ± 2</w:t>
            </w:r>
          </w:p>
        </w:tc>
        <w:tc>
          <w:tcPr>
            <w:tcW w:w="1970" w:type="dxa"/>
            <w:vAlign w:val="center"/>
          </w:tcPr>
          <w:p w:rsidR="00C360F3" w:rsidRPr="00294574" w:rsidRDefault="00C360F3" w:rsidP="00DC7FAE">
            <w:pPr>
              <w:jc w:val="center"/>
              <w:rPr>
                <w:rFonts w:eastAsia="Times New Roman"/>
              </w:rPr>
            </w:pPr>
            <w:r>
              <w:rPr>
                <w:rFonts w:eastAsia="Times New Roman"/>
              </w:rPr>
              <w:t>74.7</w:t>
            </w:r>
            <w:r w:rsidRPr="00294574">
              <w:rPr>
                <w:rFonts w:eastAsia="Times New Roman"/>
              </w:rPr>
              <w:t xml:space="preserve"> ± 1.5</w:t>
            </w:r>
          </w:p>
        </w:tc>
        <w:tc>
          <w:tcPr>
            <w:tcW w:w="1970" w:type="dxa"/>
            <w:vAlign w:val="center"/>
          </w:tcPr>
          <w:p w:rsidR="00C360F3" w:rsidRDefault="00C360F3" w:rsidP="00C360F3">
            <w:pPr>
              <w:jc w:val="center"/>
              <w:rPr>
                <w:rFonts w:eastAsia="Times New Roman"/>
              </w:rPr>
            </w:pPr>
            <w:r w:rsidRPr="007555FD">
              <w:rPr>
                <w:color w:val="000000"/>
              </w:rPr>
              <w:t>66-87</w:t>
            </w:r>
          </w:p>
        </w:tc>
      </w:tr>
      <w:tr w:rsidR="00C360F3" w:rsidTr="00810F93">
        <w:trPr>
          <w:trHeight w:val="567"/>
        </w:trPr>
        <w:tc>
          <w:tcPr>
            <w:tcW w:w="2316" w:type="dxa"/>
            <w:vAlign w:val="center"/>
          </w:tcPr>
          <w:p w:rsidR="00C360F3" w:rsidRPr="00C360F3" w:rsidRDefault="00C360F3" w:rsidP="00DC7FAE">
            <w:pPr>
              <w:jc w:val="left"/>
              <w:rPr>
                <w:color w:val="000000" w:themeColor="text1"/>
              </w:rPr>
            </w:pPr>
            <w:r w:rsidRPr="00C360F3">
              <w:rPr>
                <w:color w:val="000000" w:themeColor="text1"/>
              </w:rPr>
              <w:t>Albumin (g/l)</w:t>
            </w:r>
          </w:p>
        </w:tc>
        <w:tc>
          <w:tcPr>
            <w:tcW w:w="1969" w:type="dxa"/>
            <w:vAlign w:val="center"/>
          </w:tcPr>
          <w:p w:rsidR="00C360F3" w:rsidRPr="00253D66" w:rsidRDefault="00C360F3" w:rsidP="00DC7FAE">
            <w:pPr>
              <w:jc w:val="center"/>
            </w:pPr>
            <w:r w:rsidRPr="00253D66">
              <w:t>46 ± 1</w:t>
            </w:r>
          </w:p>
        </w:tc>
        <w:tc>
          <w:tcPr>
            <w:tcW w:w="1970" w:type="dxa"/>
            <w:vAlign w:val="center"/>
          </w:tcPr>
          <w:p w:rsidR="00C360F3" w:rsidRPr="00C94FDD" w:rsidRDefault="00C360F3" w:rsidP="00DC7FAE">
            <w:pPr>
              <w:jc w:val="center"/>
              <w:rPr>
                <w:rFonts w:eastAsia="Times New Roman"/>
              </w:rPr>
            </w:pPr>
            <w:r w:rsidRPr="00C94FDD">
              <w:rPr>
                <w:rFonts w:eastAsia="Times New Roman"/>
              </w:rPr>
              <w:t>39.7 ± 0.6</w:t>
            </w:r>
          </w:p>
        </w:tc>
        <w:tc>
          <w:tcPr>
            <w:tcW w:w="1970" w:type="dxa"/>
            <w:vAlign w:val="center"/>
          </w:tcPr>
          <w:p w:rsidR="00C360F3" w:rsidRPr="00294574" w:rsidRDefault="00C360F3" w:rsidP="00DC7FAE">
            <w:pPr>
              <w:jc w:val="center"/>
              <w:rPr>
                <w:rFonts w:eastAsia="Times New Roman"/>
              </w:rPr>
            </w:pPr>
            <w:r w:rsidRPr="00294574">
              <w:rPr>
                <w:rFonts w:eastAsia="Times New Roman"/>
              </w:rPr>
              <w:t xml:space="preserve">45.3 ± </w:t>
            </w:r>
            <w:r>
              <w:rPr>
                <w:rFonts w:eastAsia="Times New Roman"/>
              </w:rPr>
              <w:t>0.6</w:t>
            </w:r>
          </w:p>
        </w:tc>
        <w:tc>
          <w:tcPr>
            <w:tcW w:w="1970" w:type="dxa"/>
            <w:vAlign w:val="center"/>
          </w:tcPr>
          <w:p w:rsidR="00C360F3" w:rsidRPr="00294574" w:rsidRDefault="00C360F3" w:rsidP="00C360F3">
            <w:pPr>
              <w:jc w:val="center"/>
              <w:rPr>
                <w:rFonts w:eastAsia="Times New Roman"/>
              </w:rPr>
            </w:pPr>
            <w:r w:rsidRPr="007555FD">
              <w:rPr>
                <w:color w:val="000000"/>
              </w:rPr>
              <w:t>34-48</w:t>
            </w:r>
          </w:p>
        </w:tc>
      </w:tr>
      <w:tr w:rsidR="00C360F3" w:rsidRPr="00C360F3" w:rsidTr="00810F93">
        <w:trPr>
          <w:trHeight w:val="637"/>
        </w:trPr>
        <w:tc>
          <w:tcPr>
            <w:tcW w:w="2316" w:type="dxa"/>
            <w:vAlign w:val="center"/>
          </w:tcPr>
          <w:p w:rsidR="00C360F3" w:rsidRPr="00C360F3" w:rsidRDefault="00C360F3" w:rsidP="00DC7FAE">
            <w:pPr>
              <w:jc w:val="left"/>
              <w:rPr>
                <w:color w:val="1F497D" w:themeColor="text2"/>
              </w:rPr>
            </w:pPr>
            <w:r w:rsidRPr="00C360F3">
              <w:rPr>
                <w:color w:val="1F497D" w:themeColor="text2"/>
              </w:rPr>
              <w:t xml:space="preserve">Bilirubin </w:t>
            </w:r>
          </w:p>
        </w:tc>
        <w:tc>
          <w:tcPr>
            <w:tcW w:w="1969" w:type="dxa"/>
            <w:vAlign w:val="center"/>
          </w:tcPr>
          <w:p w:rsidR="00C360F3" w:rsidRPr="00C360F3" w:rsidRDefault="00C360F3" w:rsidP="00DC7FAE">
            <w:pPr>
              <w:jc w:val="center"/>
              <w:rPr>
                <w:color w:val="1F497D" w:themeColor="text2"/>
              </w:rPr>
            </w:pPr>
            <w:r w:rsidRPr="00C360F3">
              <w:rPr>
                <w:color w:val="1F497D" w:themeColor="text2"/>
              </w:rPr>
              <w:t>5.7 ± 0.6</w:t>
            </w:r>
          </w:p>
        </w:tc>
        <w:tc>
          <w:tcPr>
            <w:tcW w:w="1970" w:type="dxa"/>
            <w:vAlign w:val="center"/>
          </w:tcPr>
          <w:p w:rsidR="00C360F3" w:rsidRPr="00C360F3" w:rsidRDefault="00C360F3" w:rsidP="00DC7FAE">
            <w:pPr>
              <w:jc w:val="center"/>
              <w:rPr>
                <w:rFonts w:eastAsia="Times New Roman"/>
                <w:color w:val="1F497D" w:themeColor="text2"/>
              </w:rPr>
            </w:pPr>
            <w:r w:rsidRPr="00C360F3">
              <w:rPr>
                <w:rFonts w:eastAsia="Times New Roman"/>
                <w:color w:val="1F497D" w:themeColor="text2"/>
              </w:rPr>
              <w:t>4 ± 1</w:t>
            </w:r>
          </w:p>
        </w:tc>
        <w:tc>
          <w:tcPr>
            <w:tcW w:w="1970" w:type="dxa"/>
            <w:vAlign w:val="center"/>
          </w:tcPr>
          <w:p w:rsidR="00C360F3" w:rsidRPr="00C360F3" w:rsidRDefault="00C360F3" w:rsidP="00DC7FAE">
            <w:pPr>
              <w:jc w:val="center"/>
              <w:rPr>
                <w:rFonts w:eastAsia="Times New Roman"/>
                <w:color w:val="1F497D" w:themeColor="text2"/>
              </w:rPr>
            </w:pPr>
            <w:r w:rsidRPr="00C360F3">
              <w:rPr>
                <w:rFonts w:eastAsia="Times New Roman"/>
                <w:color w:val="1F497D" w:themeColor="text2"/>
              </w:rPr>
              <w:t>5. 7 ± 0.6</w:t>
            </w:r>
          </w:p>
        </w:tc>
        <w:tc>
          <w:tcPr>
            <w:tcW w:w="1970" w:type="dxa"/>
            <w:vAlign w:val="center"/>
          </w:tcPr>
          <w:p w:rsidR="00C360F3" w:rsidRPr="00C360F3" w:rsidRDefault="00C360F3" w:rsidP="00C360F3">
            <w:pPr>
              <w:jc w:val="center"/>
              <w:rPr>
                <w:rFonts w:eastAsia="Times New Roman"/>
                <w:color w:val="1F497D" w:themeColor="text2"/>
              </w:rPr>
            </w:pPr>
          </w:p>
        </w:tc>
      </w:tr>
      <w:tr w:rsidR="00C360F3" w:rsidRPr="00C360F3" w:rsidTr="00810F93">
        <w:trPr>
          <w:trHeight w:val="567"/>
        </w:trPr>
        <w:tc>
          <w:tcPr>
            <w:tcW w:w="2316" w:type="dxa"/>
            <w:vAlign w:val="center"/>
          </w:tcPr>
          <w:p w:rsidR="00C360F3" w:rsidRPr="00C360F3" w:rsidRDefault="00C360F3" w:rsidP="00DC7FAE">
            <w:pPr>
              <w:jc w:val="left"/>
              <w:rPr>
                <w:color w:val="1F497D" w:themeColor="text2"/>
              </w:rPr>
            </w:pPr>
            <w:r w:rsidRPr="00C360F3">
              <w:rPr>
                <w:color w:val="1F497D" w:themeColor="text2"/>
              </w:rPr>
              <w:t xml:space="preserve">Alkaline Phophate </w:t>
            </w:r>
          </w:p>
        </w:tc>
        <w:tc>
          <w:tcPr>
            <w:tcW w:w="1969" w:type="dxa"/>
            <w:vAlign w:val="center"/>
          </w:tcPr>
          <w:p w:rsidR="00C360F3" w:rsidRPr="00C360F3" w:rsidRDefault="00C360F3" w:rsidP="00DC7FAE">
            <w:pPr>
              <w:jc w:val="center"/>
              <w:rPr>
                <w:color w:val="1F497D" w:themeColor="text2"/>
              </w:rPr>
            </w:pPr>
            <w:r w:rsidRPr="00C360F3">
              <w:rPr>
                <w:color w:val="1F497D" w:themeColor="text2"/>
              </w:rPr>
              <w:t>44.7 ± 13.8</w:t>
            </w:r>
          </w:p>
        </w:tc>
        <w:tc>
          <w:tcPr>
            <w:tcW w:w="1970" w:type="dxa"/>
            <w:vAlign w:val="center"/>
          </w:tcPr>
          <w:p w:rsidR="00C360F3" w:rsidRPr="00C360F3" w:rsidRDefault="00C360F3" w:rsidP="00DC7FAE">
            <w:pPr>
              <w:jc w:val="center"/>
              <w:rPr>
                <w:rFonts w:eastAsia="Times New Roman"/>
                <w:color w:val="1F497D" w:themeColor="text2"/>
              </w:rPr>
            </w:pPr>
            <w:r w:rsidRPr="00C360F3">
              <w:rPr>
                <w:rFonts w:eastAsia="Times New Roman"/>
                <w:color w:val="1F497D" w:themeColor="text2"/>
              </w:rPr>
              <w:t>39.3 ± 11.7</w:t>
            </w:r>
          </w:p>
        </w:tc>
        <w:tc>
          <w:tcPr>
            <w:tcW w:w="1970" w:type="dxa"/>
            <w:vAlign w:val="center"/>
          </w:tcPr>
          <w:p w:rsidR="00C360F3" w:rsidRPr="00C360F3" w:rsidRDefault="00C360F3" w:rsidP="00DC7FAE">
            <w:pPr>
              <w:jc w:val="center"/>
              <w:rPr>
                <w:rFonts w:eastAsia="Times New Roman"/>
                <w:color w:val="1F497D" w:themeColor="text2"/>
              </w:rPr>
            </w:pPr>
            <w:r w:rsidRPr="00C360F3">
              <w:rPr>
                <w:rFonts w:eastAsia="Times New Roman"/>
                <w:color w:val="1F497D" w:themeColor="text2"/>
              </w:rPr>
              <w:t>44.3 ± 13.6</w:t>
            </w:r>
          </w:p>
        </w:tc>
        <w:tc>
          <w:tcPr>
            <w:tcW w:w="1970" w:type="dxa"/>
            <w:vAlign w:val="center"/>
          </w:tcPr>
          <w:p w:rsidR="00C360F3" w:rsidRPr="00C360F3" w:rsidRDefault="00C360F3" w:rsidP="00C360F3">
            <w:pPr>
              <w:jc w:val="center"/>
              <w:rPr>
                <w:rFonts w:eastAsia="Times New Roman"/>
                <w:color w:val="1F497D" w:themeColor="text2"/>
              </w:rPr>
            </w:pPr>
          </w:p>
        </w:tc>
      </w:tr>
      <w:tr w:rsidR="00C360F3" w:rsidRPr="00C360F3" w:rsidTr="00810F93">
        <w:trPr>
          <w:trHeight w:val="637"/>
        </w:trPr>
        <w:tc>
          <w:tcPr>
            <w:tcW w:w="2316" w:type="dxa"/>
            <w:vAlign w:val="center"/>
          </w:tcPr>
          <w:p w:rsidR="00C360F3" w:rsidRPr="00C360F3" w:rsidRDefault="00C360F3" w:rsidP="00DC7FAE">
            <w:pPr>
              <w:jc w:val="left"/>
              <w:rPr>
                <w:color w:val="1F497D" w:themeColor="text2"/>
              </w:rPr>
            </w:pPr>
            <w:r w:rsidRPr="00C360F3">
              <w:rPr>
                <w:color w:val="1F497D" w:themeColor="text2"/>
              </w:rPr>
              <w:t xml:space="preserve">ALT </w:t>
            </w:r>
          </w:p>
        </w:tc>
        <w:tc>
          <w:tcPr>
            <w:tcW w:w="1969" w:type="dxa"/>
            <w:vAlign w:val="center"/>
          </w:tcPr>
          <w:p w:rsidR="00C360F3" w:rsidRPr="00C360F3" w:rsidRDefault="00C360F3" w:rsidP="00DC7FAE">
            <w:pPr>
              <w:jc w:val="center"/>
              <w:rPr>
                <w:color w:val="1F497D" w:themeColor="text2"/>
              </w:rPr>
            </w:pPr>
            <w:r w:rsidRPr="00C360F3">
              <w:rPr>
                <w:color w:val="1F497D" w:themeColor="text2"/>
              </w:rPr>
              <w:t>22.7 ± 13.4</w:t>
            </w:r>
          </w:p>
        </w:tc>
        <w:tc>
          <w:tcPr>
            <w:tcW w:w="1970" w:type="dxa"/>
            <w:vAlign w:val="center"/>
          </w:tcPr>
          <w:p w:rsidR="00C360F3" w:rsidRPr="00C360F3" w:rsidRDefault="00C360F3" w:rsidP="00DC7FAE">
            <w:pPr>
              <w:jc w:val="center"/>
              <w:rPr>
                <w:color w:val="1F497D" w:themeColor="text2"/>
              </w:rPr>
            </w:pPr>
            <w:r w:rsidRPr="00C360F3">
              <w:rPr>
                <w:rFonts w:eastAsia="Times New Roman"/>
                <w:color w:val="1F497D" w:themeColor="text2"/>
              </w:rPr>
              <w:t>19.3 ± 11.2</w:t>
            </w:r>
          </w:p>
        </w:tc>
        <w:tc>
          <w:tcPr>
            <w:tcW w:w="1970" w:type="dxa"/>
            <w:vAlign w:val="center"/>
          </w:tcPr>
          <w:p w:rsidR="00C360F3" w:rsidRPr="00C360F3" w:rsidRDefault="00C360F3" w:rsidP="00DC7FAE">
            <w:pPr>
              <w:jc w:val="center"/>
              <w:rPr>
                <w:color w:val="1F497D" w:themeColor="text2"/>
              </w:rPr>
            </w:pPr>
            <w:r w:rsidRPr="00C360F3">
              <w:rPr>
                <w:rFonts w:eastAsia="Times New Roman"/>
                <w:color w:val="1F497D" w:themeColor="text2"/>
              </w:rPr>
              <w:t>23.0 ± 13.2</w:t>
            </w:r>
          </w:p>
        </w:tc>
        <w:tc>
          <w:tcPr>
            <w:tcW w:w="1970" w:type="dxa"/>
            <w:vAlign w:val="center"/>
          </w:tcPr>
          <w:p w:rsidR="00C360F3" w:rsidRPr="00C360F3" w:rsidRDefault="00C360F3" w:rsidP="00C360F3">
            <w:pPr>
              <w:jc w:val="center"/>
              <w:rPr>
                <w:rFonts w:eastAsia="Times New Roman"/>
                <w:color w:val="1F497D" w:themeColor="text2"/>
              </w:rPr>
            </w:pPr>
          </w:p>
        </w:tc>
      </w:tr>
    </w:tbl>
    <w:p w:rsidR="00F142BE" w:rsidRPr="00DC7FAE" w:rsidRDefault="00F142BE" w:rsidP="003B1C39">
      <w:pPr>
        <w:pStyle w:val="FigureCaption0"/>
        <w:rPr>
          <w:rFonts w:eastAsia="Times New Roman"/>
          <w:b w:val="0"/>
        </w:rPr>
      </w:pPr>
    </w:p>
    <w:p w:rsidR="00CA442D" w:rsidRDefault="00CA442D">
      <w:pPr>
        <w:rPr>
          <w:b/>
        </w:rPr>
      </w:pPr>
    </w:p>
    <w:p w:rsidR="00810F93" w:rsidRDefault="00810F93" w:rsidP="00810F93">
      <w:pPr>
        <w:pStyle w:val="TableCaption0"/>
      </w:pPr>
      <w:r>
        <w:t xml:space="preserve">Table </w:t>
      </w:r>
      <w:r w:rsidR="00184BC9">
        <w:fldChar w:fldCharType="begin"/>
      </w:r>
      <w:r w:rsidR="00184BC9">
        <w:instrText xml:space="preserve"> SEQ Table \* ARABIC </w:instrText>
      </w:r>
      <w:r w:rsidR="00184BC9">
        <w:fldChar w:fldCharType="separate"/>
      </w:r>
      <w:r>
        <w:rPr>
          <w:noProof/>
        </w:rPr>
        <w:t>3</w:t>
      </w:r>
      <w:r w:rsidR="00184BC9">
        <w:rPr>
          <w:noProof/>
        </w:rPr>
        <w:fldChar w:fldCharType="end"/>
      </w:r>
      <w:r>
        <w:t xml:space="preserve"> Blood coagulation parameters before and after perfusion through monoth and tubing.</w:t>
      </w:r>
    </w:p>
    <w:tbl>
      <w:tblPr>
        <w:tblStyle w:val="TableGrid"/>
        <w:tblW w:w="10152" w:type="dxa"/>
        <w:tblLook w:val="04A0" w:firstRow="1" w:lastRow="0" w:firstColumn="1" w:lastColumn="0" w:noHBand="0" w:noVBand="1"/>
      </w:tblPr>
      <w:tblGrid>
        <w:gridCol w:w="2376"/>
        <w:gridCol w:w="1944"/>
        <w:gridCol w:w="1944"/>
        <w:gridCol w:w="1944"/>
        <w:gridCol w:w="1944"/>
      </w:tblGrid>
      <w:tr w:rsidR="008F145E" w:rsidTr="00810F93">
        <w:trPr>
          <w:trHeight w:val="666"/>
        </w:trPr>
        <w:tc>
          <w:tcPr>
            <w:tcW w:w="2376" w:type="dxa"/>
            <w:vAlign w:val="center"/>
          </w:tcPr>
          <w:p w:rsidR="008F145E" w:rsidRDefault="008F145E" w:rsidP="00810F93">
            <w:pPr>
              <w:jc w:val="center"/>
            </w:pPr>
          </w:p>
        </w:tc>
        <w:tc>
          <w:tcPr>
            <w:tcW w:w="1944" w:type="dxa"/>
            <w:vAlign w:val="center"/>
          </w:tcPr>
          <w:p w:rsidR="008F145E" w:rsidRPr="00CC7364" w:rsidRDefault="008F145E" w:rsidP="00810F93">
            <w:pPr>
              <w:jc w:val="center"/>
            </w:pPr>
            <w:r w:rsidRPr="00CC7364">
              <w:t>Pre-perfusion</w:t>
            </w:r>
          </w:p>
        </w:tc>
        <w:tc>
          <w:tcPr>
            <w:tcW w:w="1944" w:type="dxa"/>
            <w:vAlign w:val="center"/>
          </w:tcPr>
          <w:p w:rsidR="008F145E" w:rsidRPr="00CC7364" w:rsidRDefault="008F145E" w:rsidP="00810F93">
            <w:pPr>
              <w:jc w:val="center"/>
            </w:pPr>
            <w:r w:rsidRPr="00CC7364">
              <w:t>Monolith</w:t>
            </w:r>
          </w:p>
        </w:tc>
        <w:tc>
          <w:tcPr>
            <w:tcW w:w="1944" w:type="dxa"/>
            <w:vAlign w:val="center"/>
          </w:tcPr>
          <w:p w:rsidR="008F145E" w:rsidRDefault="008F145E" w:rsidP="00810F93">
            <w:pPr>
              <w:jc w:val="center"/>
            </w:pPr>
            <w:r w:rsidRPr="00CC7364">
              <w:t>Tubing</w:t>
            </w:r>
          </w:p>
        </w:tc>
        <w:tc>
          <w:tcPr>
            <w:tcW w:w="1944" w:type="dxa"/>
            <w:vAlign w:val="center"/>
          </w:tcPr>
          <w:p w:rsidR="008F145E" w:rsidRPr="00CC7364" w:rsidRDefault="008F145E" w:rsidP="00810F93">
            <w:pPr>
              <w:jc w:val="center"/>
            </w:pPr>
            <w:r>
              <w:t>Normal range</w:t>
            </w:r>
          </w:p>
        </w:tc>
      </w:tr>
      <w:tr w:rsidR="008F145E" w:rsidTr="00810F93">
        <w:trPr>
          <w:trHeight w:val="666"/>
        </w:trPr>
        <w:tc>
          <w:tcPr>
            <w:tcW w:w="2376" w:type="dxa"/>
            <w:vAlign w:val="center"/>
          </w:tcPr>
          <w:p w:rsidR="008F145E" w:rsidRDefault="008F145E" w:rsidP="00810F93">
            <w:pPr>
              <w:jc w:val="left"/>
            </w:pPr>
            <w:r>
              <w:t>Fibrinogen (g/l)</w:t>
            </w:r>
          </w:p>
        </w:tc>
        <w:tc>
          <w:tcPr>
            <w:tcW w:w="1944" w:type="dxa"/>
            <w:vAlign w:val="center"/>
          </w:tcPr>
          <w:p w:rsidR="008F145E" w:rsidRPr="00810F93" w:rsidRDefault="008F145E" w:rsidP="00810F93">
            <w:pPr>
              <w:pStyle w:val="FigureCaption0"/>
              <w:spacing w:after="0" w:line="240" w:lineRule="auto"/>
              <w:jc w:val="center"/>
              <w:rPr>
                <w:b w:val="0"/>
              </w:rPr>
            </w:pPr>
            <w:r w:rsidRPr="00810F93">
              <w:rPr>
                <w:b w:val="0"/>
              </w:rPr>
              <w:t>2.8 ± 0.5</w:t>
            </w:r>
          </w:p>
        </w:tc>
        <w:tc>
          <w:tcPr>
            <w:tcW w:w="1944" w:type="dxa"/>
            <w:vAlign w:val="center"/>
          </w:tcPr>
          <w:p w:rsidR="008F145E" w:rsidRPr="00810F93" w:rsidRDefault="008F145E" w:rsidP="00810F93">
            <w:pPr>
              <w:jc w:val="center"/>
            </w:pPr>
            <w:r w:rsidRPr="00810F93">
              <w:t>2.1 ± 0.4</w:t>
            </w:r>
          </w:p>
        </w:tc>
        <w:tc>
          <w:tcPr>
            <w:tcW w:w="1944" w:type="dxa"/>
            <w:vAlign w:val="center"/>
          </w:tcPr>
          <w:p w:rsidR="008F145E" w:rsidRPr="00810F93" w:rsidRDefault="008F145E" w:rsidP="00810F93">
            <w:pPr>
              <w:jc w:val="center"/>
            </w:pPr>
            <w:r w:rsidRPr="00810F93">
              <w:t>2.8 ± 0.6</w:t>
            </w:r>
          </w:p>
        </w:tc>
        <w:tc>
          <w:tcPr>
            <w:tcW w:w="1944" w:type="dxa"/>
            <w:vAlign w:val="center"/>
          </w:tcPr>
          <w:p w:rsidR="008F145E" w:rsidRPr="00810F93" w:rsidRDefault="008F145E" w:rsidP="00810F93">
            <w:pPr>
              <w:jc w:val="center"/>
            </w:pPr>
            <w:r w:rsidRPr="00810F93">
              <w:t>2.0 – 4.0</w:t>
            </w:r>
          </w:p>
        </w:tc>
      </w:tr>
      <w:tr w:rsidR="008F145E" w:rsidTr="00810F93">
        <w:trPr>
          <w:trHeight w:val="666"/>
        </w:trPr>
        <w:tc>
          <w:tcPr>
            <w:tcW w:w="2376" w:type="dxa"/>
            <w:vAlign w:val="center"/>
          </w:tcPr>
          <w:p w:rsidR="008F145E" w:rsidRDefault="008F145E" w:rsidP="00810F93">
            <w:pPr>
              <w:jc w:val="left"/>
            </w:pPr>
            <w:r>
              <w:t>APTT</w:t>
            </w:r>
          </w:p>
        </w:tc>
        <w:tc>
          <w:tcPr>
            <w:tcW w:w="1944" w:type="dxa"/>
            <w:vAlign w:val="center"/>
          </w:tcPr>
          <w:p w:rsidR="008F145E" w:rsidRPr="00810F93" w:rsidRDefault="008F145E" w:rsidP="00810F93">
            <w:pPr>
              <w:pStyle w:val="FigureCaption0"/>
              <w:spacing w:after="0" w:line="240" w:lineRule="auto"/>
              <w:jc w:val="center"/>
              <w:rPr>
                <w:b w:val="0"/>
              </w:rPr>
            </w:pPr>
            <w:r w:rsidRPr="00810F93">
              <w:rPr>
                <w:b w:val="0"/>
              </w:rPr>
              <w:t>1.0 ± 0.1</w:t>
            </w:r>
          </w:p>
        </w:tc>
        <w:tc>
          <w:tcPr>
            <w:tcW w:w="1944" w:type="dxa"/>
            <w:vAlign w:val="center"/>
          </w:tcPr>
          <w:p w:rsidR="008F145E" w:rsidRPr="00810F93" w:rsidRDefault="008F145E" w:rsidP="00810F93">
            <w:pPr>
              <w:jc w:val="center"/>
            </w:pPr>
            <w:r w:rsidRPr="00810F93">
              <w:t>1.0 ± 0.1</w:t>
            </w:r>
          </w:p>
        </w:tc>
        <w:tc>
          <w:tcPr>
            <w:tcW w:w="1944" w:type="dxa"/>
            <w:vAlign w:val="center"/>
          </w:tcPr>
          <w:p w:rsidR="008F145E" w:rsidRPr="00810F93" w:rsidRDefault="008F145E" w:rsidP="00810F93">
            <w:pPr>
              <w:jc w:val="center"/>
            </w:pPr>
            <w:r w:rsidRPr="00810F93">
              <w:t>0.9 ± 0.1</w:t>
            </w:r>
          </w:p>
        </w:tc>
        <w:tc>
          <w:tcPr>
            <w:tcW w:w="1944" w:type="dxa"/>
            <w:vAlign w:val="center"/>
          </w:tcPr>
          <w:p w:rsidR="008F145E" w:rsidRPr="00810F93" w:rsidRDefault="008F145E" w:rsidP="00810F93">
            <w:pPr>
              <w:jc w:val="center"/>
            </w:pPr>
            <w:r w:rsidRPr="00810F93">
              <w:t>0.8 – 1.2</w:t>
            </w:r>
          </w:p>
        </w:tc>
      </w:tr>
      <w:tr w:rsidR="008F145E" w:rsidTr="00810F93">
        <w:trPr>
          <w:trHeight w:val="707"/>
        </w:trPr>
        <w:tc>
          <w:tcPr>
            <w:tcW w:w="2376" w:type="dxa"/>
            <w:vAlign w:val="center"/>
          </w:tcPr>
          <w:p w:rsidR="008F145E" w:rsidRDefault="008F145E" w:rsidP="00810F93">
            <w:pPr>
              <w:jc w:val="left"/>
            </w:pPr>
            <w:r>
              <w:t>INR</w:t>
            </w:r>
          </w:p>
        </w:tc>
        <w:tc>
          <w:tcPr>
            <w:tcW w:w="1944" w:type="dxa"/>
            <w:vAlign w:val="center"/>
          </w:tcPr>
          <w:p w:rsidR="008F145E" w:rsidRPr="00810F93" w:rsidRDefault="008F145E" w:rsidP="00810F93">
            <w:pPr>
              <w:pStyle w:val="FigureCaption0"/>
              <w:numPr>
                <w:ilvl w:val="1"/>
                <w:numId w:val="33"/>
              </w:numPr>
              <w:spacing w:after="0" w:line="240" w:lineRule="auto"/>
              <w:jc w:val="center"/>
              <w:rPr>
                <w:b w:val="0"/>
              </w:rPr>
            </w:pPr>
            <w:r w:rsidRPr="00810F93">
              <w:rPr>
                <w:b w:val="0"/>
              </w:rPr>
              <w:t>0.1</w:t>
            </w:r>
          </w:p>
        </w:tc>
        <w:tc>
          <w:tcPr>
            <w:tcW w:w="1944" w:type="dxa"/>
            <w:vAlign w:val="center"/>
          </w:tcPr>
          <w:p w:rsidR="008F145E" w:rsidRPr="00810F93" w:rsidRDefault="008F145E" w:rsidP="00810F93">
            <w:pPr>
              <w:jc w:val="center"/>
            </w:pPr>
            <w:r w:rsidRPr="00810F93">
              <w:t>1.1 ± 0.1</w:t>
            </w:r>
          </w:p>
        </w:tc>
        <w:tc>
          <w:tcPr>
            <w:tcW w:w="1944" w:type="dxa"/>
            <w:vAlign w:val="center"/>
          </w:tcPr>
          <w:p w:rsidR="008F145E" w:rsidRPr="00810F93" w:rsidRDefault="008F145E" w:rsidP="00810F93">
            <w:pPr>
              <w:jc w:val="center"/>
            </w:pPr>
            <w:r w:rsidRPr="00810F93">
              <w:t>1.0 ± 0.0</w:t>
            </w:r>
          </w:p>
        </w:tc>
        <w:tc>
          <w:tcPr>
            <w:tcW w:w="1944" w:type="dxa"/>
            <w:vAlign w:val="center"/>
          </w:tcPr>
          <w:p w:rsidR="008F145E" w:rsidRPr="00810F93" w:rsidRDefault="008F145E" w:rsidP="00810F93">
            <w:pPr>
              <w:jc w:val="center"/>
            </w:pPr>
            <w:r w:rsidRPr="00810F93">
              <w:t>0.8 – 1.2</w:t>
            </w:r>
          </w:p>
        </w:tc>
      </w:tr>
    </w:tbl>
    <w:p w:rsidR="008F145E" w:rsidRDefault="008F145E"/>
    <w:sectPr w:rsidR="008F145E" w:rsidSect="00150BE3">
      <w:footerReference w:type="default" r:id="rId23"/>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4BC9" w:rsidRDefault="00184BC9" w:rsidP="004101D5">
      <w:r>
        <w:separator/>
      </w:r>
    </w:p>
  </w:endnote>
  <w:endnote w:type="continuationSeparator" w:id="0">
    <w:p w:rsidR="00184BC9" w:rsidRDefault="00184BC9" w:rsidP="00410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W1)">
    <w:altName w:val="Times New Roman"/>
    <w:charset w:val="00"/>
    <w:family w:val="roman"/>
    <w:pitch w:val="variable"/>
    <w:sig w:usb0="20007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4657417"/>
      <w:docPartObj>
        <w:docPartGallery w:val="Page Numbers (Bottom of Page)"/>
        <w:docPartUnique/>
      </w:docPartObj>
    </w:sdtPr>
    <w:sdtEndPr>
      <w:rPr>
        <w:noProof/>
      </w:rPr>
    </w:sdtEndPr>
    <w:sdtContent>
      <w:p w:rsidR="00EA63AB" w:rsidRDefault="00E064ED" w:rsidP="004101D5">
        <w:pPr>
          <w:pStyle w:val="Footer"/>
        </w:pPr>
        <w:r>
          <w:fldChar w:fldCharType="begin"/>
        </w:r>
        <w:r>
          <w:instrText xml:space="preserve"> PAGE   \* MERGEFORMAT </w:instrText>
        </w:r>
        <w:r>
          <w:fldChar w:fldCharType="separate"/>
        </w:r>
        <w:r w:rsidR="003E5AA5">
          <w:rPr>
            <w:noProof/>
          </w:rPr>
          <w:t>10</w:t>
        </w:r>
        <w:r>
          <w:rPr>
            <w:noProof/>
          </w:rPr>
          <w:fldChar w:fldCharType="end"/>
        </w:r>
        <w:r w:rsidR="00DA6742">
          <w:rPr>
            <w:noProof/>
          </w:rPr>
          <w:tab/>
        </w:r>
        <w:r w:rsidR="00DA6742">
          <w:rPr>
            <w:noProof/>
          </w:rPr>
          <w:tab/>
          <w:t>YZ</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4BC9" w:rsidRDefault="00184BC9" w:rsidP="004101D5">
      <w:r>
        <w:separator/>
      </w:r>
    </w:p>
  </w:footnote>
  <w:footnote w:type="continuationSeparator" w:id="0">
    <w:p w:rsidR="00184BC9" w:rsidRDefault="00184BC9" w:rsidP="004101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0611A"/>
    <w:multiLevelType w:val="hybridMultilevel"/>
    <w:tmpl w:val="79ECD852"/>
    <w:lvl w:ilvl="0" w:tplc="3E6AEB52">
      <w:start w:val="4"/>
      <w:numFmt w:val="decimal"/>
      <w:pStyle w:val="Chapters"/>
      <w:lvlText w:val="CHAPTER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2116E"/>
    <w:multiLevelType w:val="hybridMultilevel"/>
    <w:tmpl w:val="98ECF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C656A1"/>
    <w:multiLevelType w:val="multilevel"/>
    <w:tmpl w:val="EE921AEC"/>
    <w:lvl w:ilvl="0">
      <w:start w:val="2"/>
      <w:numFmt w:val="decimal"/>
      <w:pStyle w:val="Chapter"/>
      <w:lvlText w:val="CHAPTER %1."/>
      <w:lvlJc w:val="left"/>
      <w:pPr>
        <w:ind w:left="43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6E93093"/>
    <w:multiLevelType w:val="multilevel"/>
    <w:tmpl w:val="553090C4"/>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EB3EAD"/>
    <w:multiLevelType w:val="multilevel"/>
    <w:tmpl w:val="5636C07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05F1FFF"/>
    <w:multiLevelType w:val="hybridMultilevel"/>
    <w:tmpl w:val="5D5E5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A77F8A"/>
    <w:multiLevelType w:val="multilevel"/>
    <w:tmpl w:val="0809001F"/>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1224" w:hanging="504"/>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ind w:left="2232" w:hanging="792"/>
      </w:pPr>
      <w:rPr>
        <w:rFonts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5183F49"/>
    <w:multiLevelType w:val="hybridMultilevel"/>
    <w:tmpl w:val="ED1AAA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7D79CF"/>
    <w:multiLevelType w:val="hybridMultilevel"/>
    <w:tmpl w:val="C9F429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3F52F6"/>
    <w:multiLevelType w:val="multilevel"/>
    <w:tmpl w:val="951243FE"/>
    <w:lvl w:ilvl="0">
      <w:start w:val="1"/>
      <w:numFmt w:val="upperLetter"/>
      <w:pStyle w:val="AppendixHeading1"/>
      <w:suff w:val="space"/>
      <w:lvlText w:val="Appendix %1:"/>
      <w:lvlJc w:val="left"/>
      <w:pPr>
        <w:ind w:left="0" w:firstLine="0"/>
      </w:pPr>
      <w:rPr>
        <w:rFonts w:hint="default"/>
      </w:rPr>
    </w:lvl>
    <w:lvl w:ilvl="1">
      <w:start w:val="1"/>
      <w:numFmt w:val="decimal"/>
      <w:pStyle w:val="AppendixHeading2"/>
      <w:suff w:val="space"/>
      <w:lvlText w:val="%1.%2."/>
      <w:lvlJc w:val="left"/>
      <w:pPr>
        <w:ind w:left="792" w:hanging="792"/>
      </w:pPr>
      <w:rPr>
        <w:rFonts w:hint="default"/>
      </w:rPr>
    </w:lvl>
    <w:lvl w:ilvl="2">
      <w:start w:val="1"/>
      <w:numFmt w:val="decimal"/>
      <w:pStyle w:val="AppendixHeading3"/>
      <w:suff w:val="space"/>
      <w:lvlText w:val="%1.%2.%3."/>
      <w:lvlJc w:val="left"/>
      <w:pPr>
        <w:ind w:left="1224" w:hanging="122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0" w15:restartNumberingAfterBreak="0">
    <w:nsid w:val="2ED7244B"/>
    <w:multiLevelType w:val="hybridMultilevel"/>
    <w:tmpl w:val="2D30D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930562"/>
    <w:multiLevelType w:val="hybridMultilevel"/>
    <w:tmpl w:val="7876D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1076EE"/>
    <w:multiLevelType w:val="multilevel"/>
    <w:tmpl w:val="01FED3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F740DD4"/>
    <w:multiLevelType w:val="hybridMultilevel"/>
    <w:tmpl w:val="ED1AAA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20567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66312D9"/>
    <w:multiLevelType w:val="hybridMultilevel"/>
    <w:tmpl w:val="0FC43F42"/>
    <w:lvl w:ilvl="0" w:tplc="AA40DA3E">
      <w:start w:val="1"/>
      <w:numFmt w:val="decimal"/>
      <w:lvlText w:val="%1.2."/>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pStyle w:val="Level2"/>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E019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2FA0DB4"/>
    <w:multiLevelType w:val="hybridMultilevel"/>
    <w:tmpl w:val="ED1AAA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CF79E8"/>
    <w:multiLevelType w:val="multilevel"/>
    <w:tmpl w:val="202E0E96"/>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42C5BB3"/>
    <w:multiLevelType w:val="hybridMultilevel"/>
    <w:tmpl w:val="4E78E6BE"/>
    <w:lvl w:ilvl="0" w:tplc="B3C2A70A">
      <w:start w:val="1"/>
      <w:numFmt w:val="lowerLetter"/>
      <w:lvlText w:val="%1)"/>
      <w:lvlJc w:val="center"/>
      <w:pPr>
        <w:ind w:left="2149" w:hanging="360"/>
      </w:pPr>
      <w:rPr>
        <w:rFonts w:hint="default"/>
      </w:rPr>
    </w:lvl>
    <w:lvl w:ilvl="1" w:tplc="04520019" w:tentative="1">
      <w:start w:val="1"/>
      <w:numFmt w:val="lowerLetter"/>
      <w:lvlText w:val="%2."/>
      <w:lvlJc w:val="left"/>
      <w:pPr>
        <w:ind w:left="2869" w:hanging="360"/>
      </w:pPr>
    </w:lvl>
    <w:lvl w:ilvl="2" w:tplc="0452001B" w:tentative="1">
      <w:start w:val="1"/>
      <w:numFmt w:val="lowerRoman"/>
      <w:lvlText w:val="%3."/>
      <w:lvlJc w:val="right"/>
      <w:pPr>
        <w:ind w:left="3589" w:hanging="180"/>
      </w:pPr>
    </w:lvl>
    <w:lvl w:ilvl="3" w:tplc="0452000F" w:tentative="1">
      <w:start w:val="1"/>
      <w:numFmt w:val="decimal"/>
      <w:lvlText w:val="%4."/>
      <w:lvlJc w:val="left"/>
      <w:pPr>
        <w:ind w:left="4309" w:hanging="360"/>
      </w:pPr>
    </w:lvl>
    <w:lvl w:ilvl="4" w:tplc="04520019" w:tentative="1">
      <w:start w:val="1"/>
      <w:numFmt w:val="lowerLetter"/>
      <w:lvlText w:val="%5."/>
      <w:lvlJc w:val="left"/>
      <w:pPr>
        <w:ind w:left="5029" w:hanging="360"/>
      </w:pPr>
    </w:lvl>
    <w:lvl w:ilvl="5" w:tplc="0452001B" w:tentative="1">
      <w:start w:val="1"/>
      <w:numFmt w:val="lowerRoman"/>
      <w:lvlText w:val="%6."/>
      <w:lvlJc w:val="right"/>
      <w:pPr>
        <w:ind w:left="5749" w:hanging="180"/>
      </w:pPr>
    </w:lvl>
    <w:lvl w:ilvl="6" w:tplc="0452000F" w:tentative="1">
      <w:start w:val="1"/>
      <w:numFmt w:val="decimal"/>
      <w:lvlText w:val="%7."/>
      <w:lvlJc w:val="left"/>
      <w:pPr>
        <w:ind w:left="6469" w:hanging="360"/>
      </w:pPr>
    </w:lvl>
    <w:lvl w:ilvl="7" w:tplc="04520019" w:tentative="1">
      <w:start w:val="1"/>
      <w:numFmt w:val="lowerLetter"/>
      <w:lvlText w:val="%8."/>
      <w:lvlJc w:val="left"/>
      <w:pPr>
        <w:ind w:left="7189" w:hanging="360"/>
      </w:pPr>
    </w:lvl>
    <w:lvl w:ilvl="8" w:tplc="0452001B" w:tentative="1">
      <w:start w:val="1"/>
      <w:numFmt w:val="lowerRoman"/>
      <w:lvlText w:val="%9."/>
      <w:lvlJc w:val="right"/>
      <w:pPr>
        <w:ind w:left="7909" w:hanging="180"/>
      </w:pPr>
    </w:lvl>
  </w:abstractNum>
  <w:abstractNum w:abstractNumId="20" w15:restartNumberingAfterBreak="0">
    <w:nsid w:val="55E907DD"/>
    <w:multiLevelType w:val="multilevel"/>
    <w:tmpl w:val="5AE8F3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9E27348"/>
    <w:multiLevelType w:val="multilevel"/>
    <w:tmpl w:val="4E3CED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5A3C05C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CE766D4"/>
    <w:multiLevelType w:val="hybridMultilevel"/>
    <w:tmpl w:val="16F8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5550FA"/>
    <w:multiLevelType w:val="hybridMultilevel"/>
    <w:tmpl w:val="D9F656A0"/>
    <w:lvl w:ilvl="0" w:tplc="FCFAAFAC">
      <w:numFmt w:val="bullet"/>
      <w:lvlText w:val="•"/>
      <w:lvlJc w:val="left"/>
      <w:pPr>
        <w:ind w:left="1080" w:hanging="72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4E670B"/>
    <w:multiLevelType w:val="hybridMultilevel"/>
    <w:tmpl w:val="5F5CA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2C2555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67C48B3"/>
    <w:multiLevelType w:val="multilevel"/>
    <w:tmpl w:val="CC4E5598"/>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89B1E1B"/>
    <w:multiLevelType w:val="multilevel"/>
    <w:tmpl w:val="708E59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8A0544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6"/>
  </w:num>
  <w:num w:numId="3">
    <w:abstractNumId w:val="9"/>
  </w:num>
  <w:num w:numId="4">
    <w:abstractNumId w:val="0"/>
  </w:num>
  <w:num w:numId="5">
    <w:abstractNumId w:val="15"/>
  </w:num>
  <w:num w:numId="6">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28"/>
  </w:num>
  <w:num w:numId="12">
    <w:abstractNumId w:val="26"/>
  </w:num>
  <w:num w:numId="13">
    <w:abstractNumId w:val="29"/>
  </w:num>
  <w:num w:numId="14">
    <w:abstractNumId w:val="22"/>
  </w:num>
  <w:num w:numId="15">
    <w:abstractNumId w:val="16"/>
  </w:num>
  <w:num w:numId="16">
    <w:abstractNumId w:val="20"/>
  </w:num>
  <w:num w:numId="17">
    <w:abstractNumId w:val="7"/>
  </w:num>
  <w:num w:numId="18">
    <w:abstractNumId w:val="11"/>
  </w:num>
  <w:num w:numId="19">
    <w:abstractNumId w:val="13"/>
  </w:num>
  <w:num w:numId="20">
    <w:abstractNumId w:val="17"/>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8"/>
  </w:num>
  <w:num w:numId="24">
    <w:abstractNumId w:val="25"/>
  </w:num>
  <w:num w:numId="25">
    <w:abstractNumId w:val="12"/>
  </w:num>
  <w:num w:numId="26">
    <w:abstractNumId w:val="23"/>
  </w:num>
  <w:num w:numId="27">
    <w:abstractNumId w:val="18"/>
  </w:num>
  <w:num w:numId="28">
    <w:abstractNumId w:val="1"/>
  </w:num>
  <w:num w:numId="29">
    <w:abstractNumId w:val="5"/>
  </w:num>
  <w:num w:numId="30">
    <w:abstractNumId w:val="21"/>
  </w:num>
  <w:num w:numId="31">
    <w:abstractNumId w:val="10"/>
  </w:num>
  <w:num w:numId="32">
    <w:abstractNumId w:val="24"/>
  </w:num>
  <w:num w:numId="33">
    <w:abstractNumId w:val="3"/>
  </w:num>
  <w:num w:numId="34">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1"/>
  <w:activeWritingStyle w:appName="MSWord" w:lang="en-CA" w:vendorID="64" w:dllVersion="131078" w:nlCheck="1" w:checkStyle="1"/>
  <w:activeWritingStyle w:appName="MSWord" w:lang="en-US" w:vendorID="64" w:dllVersion="131078" w:nlCheck="1" w:checkStyle="1"/>
  <w:activeWritingStyle w:appName="MSWord" w:lang="fr-FR" w:vendorID="64" w:dllVersion="131078" w:nlCheck="1" w:checkStyle="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2eazzdrjf95t8eezzm5xxdo2pxsxd0d0zxr&quot;&gt;Monolith paper Jan2014&lt;record-ids&gt;&lt;item&gt;6&lt;/item&gt;&lt;item&gt;8&lt;/item&gt;&lt;item&gt;17&lt;/item&gt;&lt;/record-ids&gt;&lt;/item&gt;&lt;/Libraries&gt;"/>
  </w:docVars>
  <w:rsids>
    <w:rsidRoot w:val="00AD2EBF"/>
    <w:rsid w:val="0000166A"/>
    <w:rsid w:val="000037D5"/>
    <w:rsid w:val="00005388"/>
    <w:rsid w:val="00005AD6"/>
    <w:rsid w:val="00006558"/>
    <w:rsid w:val="000078B6"/>
    <w:rsid w:val="00010056"/>
    <w:rsid w:val="000103EB"/>
    <w:rsid w:val="0001092C"/>
    <w:rsid w:val="00010EA5"/>
    <w:rsid w:val="00011B7A"/>
    <w:rsid w:val="0001228D"/>
    <w:rsid w:val="000157C5"/>
    <w:rsid w:val="00015ACB"/>
    <w:rsid w:val="0001696B"/>
    <w:rsid w:val="000209F9"/>
    <w:rsid w:val="00021B24"/>
    <w:rsid w:val="00024A93"/>
    <w:rsid w:val="000269C3"/>
    <w:rsid w:val="00031670"/>
    <w:rsid w:val="00031759"/>
    <w:rsid w:val="00031F90"/>
    <w:rsid w:val="0003294D"/>
    <w:rsid w:val="00033C2B"/>
    <w:rsid w:val="000357B8"/>
    <w:rsid w:val="00037229"/>
    <w:rsid w:val="00037833"/>
    <w:rsid w:val="000425AB"/>
    <w:rsid w:val="0004453A"/>
    <w:rsid w:val="00044992"/>
    <w:rsid w:val="000454CE"/>
    <w:rsid w:val="00045C0E"/>
    <w:rsid w:val="0004668A"/>
    <w:rsid w:val="00046B41"/>
    <w:rsid w:val="00053534"/>
    <w:rsid w:val="00053F3F"/>
    <w:rsid w:val="000574D6"/>
    <w:rsid w:val="000624C3"/>
    <w:rsid w:val="00064B31"/>
    <w:rsid w:val="000675B3"/>
    <w:rsid w:val="00070F39"/>
    <w:rsid w:val="0007146A"/>
    <w:rsid w:val="00071586"/>
    <w:rsid w:val="00072966"/>
    <w:rsid w:val="00072BBB"/>
    <w:rsid w:val="00072F11"/>
    <w:rsid w:val="00073E29"/>
    <w:rsid w:val="00073E7A"/>
    <w:rsid w:val="000747DA"/>
    <w:rsid w:val="0007526F"/>
    <w:rsid w:val="0007695A"/>
    <w:rsid w:val="00076EBE"/>
    <w:rsid w:val="0008007B"/>
    <w:rsid w:val="00080BCB"/>
    <w:rsid w:val="0008107E"/>
    <w:rsid w:val="00082505"/>
    <w:rsid w:val="0008464E"/>
    <w:rsid w:val="00087277"/>
    <w:rsid w:val="0008737A"/>
    <w:rsid w:val="00087790"/>
    <w:rsid w:val="00087C44"/>
    <w:rsid w:val="00087C45"/>
    <w:rsid w:val="00095B62"/>
    <w:rsid w:val="00095FA8"/>
    <w:rsid w:val="00097745"/>
    <w:rsid w:val="000A0E6B"/>
    <w:rsid w:val="000A130A"/>
    <w:rsid w:val="000A1704"/>
    <w:rsid w:val="000A24B2"/>
    <w:rsid w:val="000A3771"/>
    <w:rsid w:val="000A37FF"/>
    <w:rsid w:val="000A4525"/>
    <w:rsid w:val="000A48FD"/>
    <w:rsid w:val="000A70AC"/>
    <w:rsid w:val="000A7871"/>
    <w:rsid w:val="000B1171"/>
    <w:rsid w:val="000B129F"/>
    <w:rsid w:val="000B1E17"/>
    <w:rsid w:val="000B2745"/>
    <w:rsid w:val="000B35B4"/>
    <w:rsid w:val="000B3E57"/>
    <w:rsid w:val="000B5F7A"/>
    <w:rsid w:val="000B7BD7"/>
    <w:rsid w:val="000B7D30"/>
    <w:rsid w:val="000C0399"/>
    <w:rsid w:val="000C0BAF"/>
    <w:rsid w:val="000C2101"/>
    <w:rsid w:val="000C316F"/>
    <w:rsid w:val="000C357F"/>
    <w:rsid w:val="000C363A"/>
    <w:rsid w:val="000C3CAE"/>
    <w:rsid w:val="000C6663"/>
    <w:rsid w:val="000D1F01"/>
    <w:rsid w:val="000D2C55"/>
    <w:rsid w:val="000D2F35"/>
    <w:rsid w:val="000D69F1"/>
    <w:rsid w:val="000D6CDC"/>
    <w:rsid w:val="000E0DC8"/>
    <w:rsid w:val="000E1A48"/>
    <w:rsid w:val="000E1E28"/>
    <w:rsid w:val="000E2B06"/>
    <w:rsid w:val="000E3A7A"/>
    <w:rsid w:val="000E4D5E"/>
    <w:rsid w:val="000E6990"/>
    <w:rsid w:val="000F0162"/>
    <w:rsid w:val="000F0387"/>
    <w:rsid w:val="000F0C16"/>
    <w:rsid w:val="000F5272"/>
    <w:rsid w:val="000F53E3"/>
    <w:rsid w:val="000F5E70"/>
    <w:rsid w:val="000F70F7"/>
    <w:rsid w:val="0010087F"/>
    <w:rsid w:val="001034CD"/>
    <w:rsid w:val="001040E0"/>
    <w:rsid w:val="0010421C"/>
    <w:rsid w:val="00104C5B"/>
    <w:rsid w:val="00104F23"/>
    <w:rsid w:val="00105B3D"/>
    <w:rsid w:val="00106126"/>
    <w:rsid w:val="001064FA"/>
    <w:rsid w:val="00107166"/>
    <w:rsid w:val="001113D9"/>
    <w:rsid w:val="00112007"/>
    <w:rsid w:val="00113019"/>
    <w:rsid w:val="00113790"/>
    <w:rsid w:val="00113914"/>
    <w:rsid w:val="00113ED9"/>
    <w:rsid w:val="00114DBC"/>
    <w:rsid w:val="001152E6"/>
    <w:rsid w:val="00116522"/>
    <w:rsid w:val="001175C8"/>
    <w:rsid w:val="00117C77"/>
    <w:rsid w:val="001206E7"/>
    <w:rsid w:val="00120F3F"/>
    <w:rsid w:val="001213FB"/>
    <w:rsid w:val="00121BBE"/>
    <w:rsid w:val="00122308"/>
    <w:rsid w:val="00124753"/>
    <w:rsid w:val="00125AC1"/>
    <w:rsid w:val="0012610D"/>
    <w:rsid w:val="00126B55"/>
    <w:rsid w:val="00127503"/>
    <w:rsid w:val="00130361"/>
    <w:rsid w:val="00130416"/>
    <w:rsid w:val="00130567"/>
    <w:rsid w:val="00130D66"/>
    <w:rsid w:val="0013229D"/>
    <w:rsid w:val="001322AB"/>
    <w:rsid w:val="001322B0"/>
    <w:rsid w:val="00132EFB"/>
    <w:rsid w:val="00133081"/>
    <w:rsid w:val="001335AD"/>
    <w:rsid w:val="001348BF"/>
    <w:rsid w:val="00134C0D"/>
    <w:rsid w:val="001352F8"/>
    <w:rsid w:val="0013662D"/>
    <w:rsid w:val="00136BD4"/>
    <w:rsid w:val="00137C4A"/>
    <w:rsid w:val="00137EB3"/>
    <w:rsid w:val="00140269"/>
    <w:rsid w:val="00141A3A"/>
    <w:rsid w:val="00141F1E"/>
    <w:rsid w:val="0014239A"/>
    <w:rsid w:val="00144921"/>
    <w:rsid w:val="001477CB"/>
    <w:rsid w:val="001507B4"/>
    <w:rsid w:val="00150BE3"/>
    <w:rsid w:val="0015148F"/>
    <w:rsid w:val="00151E97"/>
    <w:rsid w:val="00152081"/>
    <w:rsid w:val="00152232"/>
    <w:rsid w:val="0015313B"/>
    <w:rsid w:val="0015393B"/>
    <w:rsid w:val="001554CF"/>
    <w:rsid w:val="0015732A"/>
    <w:rsid w:val="00157642"/>
    <w:rsid w:val="0016300B"/>
    <w:rsid w:val="00164518"/>
    <w:rsid w:val="001673D4"/>
    <w:rsid w:val="00167D79"/>
    <w:rsid w:val="00170977"/>
    <w:rsid w:val="00170A36"/>
    <w:rsid w:val="00170E27"/>
    <w:rsid w:val="00171441"/>
    <w:rsid w:val="0017367D"/>
    <w:rsid w:val="001736B3"/>
    <w:rsid w:val="00174472"/>
    <w:rsid w:val="0017475E"/>
    <w:rsid w:val="00174A9D"/>
    <w:rsid w:val="001804B3"/>
    <w:rsid w:val="00180861"/>
    <w:rsid w:val="00180FDF"/>
    <w:rsid w:val="00184443"/>
    <w:rsid w:val="00184BC9"/>
    <w:rsid w:val="0018740C"/>
    <w:rsid w:val="001907A1"/>
    <w:rsid w:val="0019145F"/>
    <w:rsid w:val="00192543"/>
    <w:rsid w:val="00195000"/>
    <w:rsid w:val="00195910"/>
    <w:rsid w:val="001976FB"/>
    <w:rsid w:val="00197C35"/>
    <w:rsid w:val="001A0F11"/>
    <w:rsid w:val="001A16A1"/>
    <w:rsid w:val="001A3A29"/>
    <w:rsid w:val="001A7C12"/>
    <w:rsid w:val="001B1D4D"/>
    <w:rsid w:val="001B1F85"/>
    <w:rsid w:val="001B2200"/>
    <w:rsid w:val="001B2336"/>
    <w:rsid w:val="001B341E"/>
    <w:rsid w:val="001B355A"/>
    <w:rsid w:val="001B42A1"/>
    <w:rsid w:val="001B6BAB"/>
    <w:rsid w:val="001C013A"/>
    <w:rsid w:val="001C11C6"/>
    <w:rsid w:val="001C317D"/>
    <w:rsid w:val="001C4404"/>
    <w:rsid w:val="001C51A3"/>
    <w:rsid w:val="001C5FA1"/>
    <w:rsid w:val="001C63DC"/>
    <w:rsid w:val="001C712C"/>
    <w:rsid w:val="001C72CF"/>
    <w:rsid w:val="001C76D4"/>
    <w:rsid w:val="001D287F"/>
    <w:rsid w:val="001D2B1F"/>
    <w:rsid w:val="001D2E0C"/>
    <w:rsid w:val="001D2F08"/>
    <w:rsid w:val="001D449F"/>
    <w:rsid w:val="001D4C5A"/>
    <w:rsid w:val="001D5C74"/>
    <w:rsid w:val="001D7E7D"/>
    <w:rsid w:val="001E02DE"/>
    <w:rsid w:val="001E13C8"/>
    <w:rsid w:val="001E1FA7"/>
    <w:rsid w:val="001E2D9F"/>
    <w:rsid w:val="001E59EE"/>
    <w:rsid w:val="001E64AC"/>
    <w:rsid w:val="001E6E78"/>
    <w:rsid w:val="001E7736"/>
    <w:rsid w:val="001F10A2"/>
    <w:rsid w:val="001F113A"/>
    <w:rsid w:val="001F1B18"/>
    <w:rsid w:val="001F7380"/>
    <w:rsid w:val="00200003"/>
    <w:rsid w:val="002011B3"/>
    <w:rsid w:val="00201BBB"/>
    <w:rsid w:val="00202822"/>
    <w:rsid w:val="002052B4"/>
    <w:rsid w:val="00205A0F"/>
    <w:rsid w:val="00207F6D"/>
    <w:rsid w:val="00210095"/>
    <w:rsid w:val="00210D08"/>
    <w:rsid w:val="00211158"/>
    <w:rsid w:val="00211510"/>
    <w:rsid w:val="00212330"/>
    <w:rsid w:val="00213269"/>
    <w:rsid w:val="002202C1"/>
    <w:rsid w:val="002210F8"/>
    <w:rsid w:val="002217BA"/>
    <w:rsid w:val="0022205A"/>
    <w:rsid w:val="00224196"/>
    <w:rsid w:val="0023023B"/>
    <w:rsid w:val="00231BB0"/>
    <w:rsid w:val="00231E03"/>
    <w:rsid w:val="0023443B"/>
    <w:rsid w:val="0023714F"/>
    <w:rsid w:val="00237224"/>
    <w:rsid w:val="00241127"/>
    <w:rsid w:val="002427EF"/>
    <w:rsid w:val="00242B85"/>
    <w:rsid w:val="002436D4"/>
    <w:rsid w:val="0024782D"/>
    <w:rsid w:val="00247C61"/>
    <w:rsid w:val="002507C2"/>
    <w:rsid w:val="00250A3A"/>
    <w:rsid w:val="00251AE2"/>
    <w:rsid w:val="00252B4C"/>
    <w:rsid w:val="00253113"/>
    <w:rsid w:val="00253327"/>
    <w:rsid w:val="00255015"/>
    <w:rsid w:val="002550DF"/>
    <w:rsid w:val="002571C5"/>
    <w:rsid w:val="00257305"/>
    <w:rsid w:val="00260D63"/>
    <w:rsid w:val="0026162E"/>
    <w:rsid w:val="00261F24"/>
    <w:rsid w:val="0026200F"/>
    <w:rsid w:val="0026315D"/>
    <w:rsid w:val="0026486F"/>
    <w:rsid w:val="0026647E"/>
    <w:rsid w:val="002671AA"/>
    <w:rsid w:val="002709D8"/>
    <w:rsid w:val="00270D97"/>
    <w:rsid w:val="00271A97"/>
    <w:rsid w:val="002758E1"/>
    <w:rsid w:val="00276C6A"/>
    <w:rsid w:val="0028052B"/>
    <w:rsid w:val="002822AD"/>
    <w:rsid w:val="00282CA8"/>
    <w:rsid w:val="00282CBE"/>
    <w:rsid w:val="00286323"/>
    <w:rsid w:val="00286426"/>
    <w:rsid w:val="00286FBB"/>
    <w:rsid w:val="00287726"/>
    <w:rsid w:val="0029013C"/>
    <w:rsid w:val="00290DE6"/>
    <w:rsid w:val="00297F96"/>
    <w:rsid w:val="002A1CC1"/>
    <w:rsid w:val="002A28F5"/>
    <w:rsid w:val="002A3162"/>
    <w:rsid w:val="002A72A0"/>
    <w:rsid w:val="002B0CE8"/>
    <w:rsid w:val="002B2728"/>
    <w:rsid w:val="002B3777"/>
    <w:rsid w:val="002B49D3"/>
    <w:rsid w:val="002B6EC0"/>
    <w:rsid w:val="002C08B1"/>
    <w:rsid w:val="002C197B"/>
    <w:rsid w:val="002C2396"/>
    <w:rsid w:val="002C3AFA"/>
    <w:rsid w:val="002C47D1"/>
    <w:rsid w:val="002C4BF0"/>
    <w:rsid w:val="002C4F6C"/>
    <w:rsid w:val="002C5542"/>
    <w:rsid w:val="002C5C84"/>
    <w:rsid w:val="002C6343"/>
    <w:rsid w:val="002D2C4F"/>
    <w:rsid w:val="002D3045"/>
    <w:rsid w:val="002D342B"/>
    <w:rsid w:val="002D3A25"/>
    <w:rsid w:val="002D4843"/>
    <w:rsid w:val="002D621F"/>
    <w:rsid w:val="002D6CB4"/>
    <w:rsid w:val="002E0108"/>
    <w:rsid w:val="002E03E3"/>
    <w:rsid w:val="002E1A6F"/>
    <w:rsid w:val="002E1E4B"/>
    <w:rsid w:val="002E410B"/>
    <w:rsid w:val="002E5E27"/>
    <w:rsid w:val="002E5E38"/>
    <w:rsid w:val="002E62A5"/>
    <w:rsid w:val="002F1FD3"/>
    <w:rsid w:val="002F2DF1"/>
    <w:rsid w:val="002F5E4B"/>
    <w:rsid w:val="003006EB"/>
    <w:rsid w:val="00301B05"/>
    <w:rsid w:val="00301E92"/>
    <w:rsid w:val="0030219E"/>
    <w:rsid w:val="0030278A"/>
    <w:rsid w:val="003039CB"/>
    <w:rsid w:val="00303FDF"/>
    <w:rsid w:val="00304EDD"/>
    <w:rsid w:val="00305AE1"/>
    <w:rsid w:val="00307657"/>
    <w:rsid w:val="00307924"/>
    <w:rsid w:val="0031036F"/>
    <w:rsid w:val="00310A02"/>
    <w:rsid w:val="0031244B"/>
    <w:rsid w:val="00313497"/>
    <w:rsid w:val="0031381C"/>
    <w:rsid w:val="00314184"/>
    <w:rsid w:val="00315E5B"/>
    <w:rsid w:val="00316795"/>
    <w:rsid w:val="00316A64"/>
    <w:rsid w:val="00317C4E"/>
    <w:rsid w:val="0032153C"/>
    <w:rsid w:val="00321769"/>
    <w:rsid w:val="00321F1D"/>
    <w:rsid w:val="00323426"/>
    <w:rsid w:val="0032389C"/>
    <w:rsid w:val="003244EE"/>
    <w:rsid w:val="00325056"/>
    <w:rsid w:val="003267FB"/>
    <w:rsid w:val="003274C4"/>
    <w:rsid w:val="003276F6"/>
    <w:rsid w:val="00327E1E"/>
    <w:rsid w:val="003329A0"/>
    <w:rsid w:val="003335CE"/>
    <w:rsid w:val="00334EF6"/>
    <w:rsid w:val="00335C96"/>
    <w:rsid w:val="00335DDC"/>
    <w:rsid w:val="003365E6"/>
    <w:rsid w:val="00342D27"/>
    <w:rsid w:val="00342D5E"/>
    <w:rsid w:val="00342F72"/>
    <w:rsid w:val="00343E2E"/>
    <w:rsid w:val="00344AFB"/>
    <w:rsid w:val="00344EBD"/>
    <w:rsid w:val="0034545F"/>
    <w:rsid w:val="003454F4"/>
    <w:rsid w:val="003470CA"/>
    <w:rsid w:val="003504E7"/>
    <w:rsid w:val="003511C7"/>
    <w:rsid w:val="00352721"/>
    <w:rsid w:val="003554F1"/>
    <w:rsid w:val="00355760"/>
    <w:rsid w:val="00355F91"/>
    <w:rsid w:val="0035658D"/>
    <w:rsid w:val="003566C0"/>
    <w:rsid w:val="00357103"/>
    <w:rsid w:val="00361D60"/>
    <w:rsid w:val="00362148"/>
    <w:rsid w:val="0036216E"/>
    <w:rsid w:val="003653E4"/>
    <w:rsid w:val="00365B98"/>
    <w:rsid w:val="00366056"/>
    <w:rsid w:val="003664AA"/>
    <w:rsid w:val="00367124"/>
    <w:rsid w:val="00371FFD"/>
    <w:rsid w:val="00372FBA"/>
    <w:rsid w:val="003742AF"/>
    <w:rsid w:val="003747D0"/>
    <w:rsid w:val="00374E2E"/>
    <w:rsid w:val="00376125"/>
    <w:rsid w:val="00382A96"/>
    <w:rsid w:val="003843B7"/>
    <w:rsid w:val="003847B8"/>
    <w:rsid w:val="003848C9"/>
    <w:rsid w:val="00384A8A"/>
    <w:rsid w:val="0038792F"/>
    <w:rsid w:val="003908CE"/>
    <w:rsid w:val="00390CAD"/>
    <w:rsid w:val="003935C8"/>
    <w:rsid w:val="003956A0"/>
    <w:rsid w:val="003957B2"/>
    <w:rsid w:val="0039618E"/>
    <w:rsid w:val="003A0C18"/>
    <w:rsid w:val="003A1878"/>
    <w:rsid w:val="003A1E20"/>
    <w:rsid w:val="003A24BD"/>
    <w:rsid w:val="003A27F4"/>
    <w:rsid w:val="003A2A07"/>
    <w:rsid w:val="003A2BDC"/>
    <w:rsid w:val="003A2F7F"/>
    <w:rsid w:val="003A35CE"/>
    <w:rsid w:val="003A5081"/>
    <w:rsid w:val="003B1C39"/>
    <w:rsid w:val="003B2072"/>
    <w:rsid w:val="003B247A"/>
    <w:rsid w:val="003B52C0"/>
    <w:rsid w:val="003B5441"/>
    <w:rsid w:val="003B60E5"/>
    <w:rsid w:val="003C4582"/>
    <w:rsid w:val="003C4C4E"/>
    <w:rsid w:val="003C53AF"/>
    <w:rsid w:val="003C5CD6"/>
    <w:rsid w:val="003C6662"/>
    <w:rsid w:val="003C6FC8"/>
    <w:rsid w:val="003C789B"/>
    <w:rsid w:val="003C7C44"/>
    <w:rsid w:val="003D0C52"/>
    <w:rsid w:val="003D1241"/>
    <w:rsid w:val="003D2EE5"/>
    <w:rsid w:val="003D305B"/>
    <w:rsid w:val="003D3B26"/>
    <w:rsid w:val="003E07EA"/>
    <w:rsid w:val="003E2DD5"/>
    <w:rsid w:val="003E348E"/>
    <w:rsid w:val="003E5AA5"/>
    <w:rsid w:val="003E6D87"/>
    <w:rsid w:val="003E722D"/>
    <w:rsid w:val="003E7791"/>
    <w:rsid w:val="003F06F8"/>
    <w:rsid w:val="003F46E6"/>
    <w:rsid w:val="003F70D4"/>
    <w:rsid w:val="003F74AA"/>
    <w:rsid w:val="00400BCB"/>
    <w:rsid w:val="00400DD8"/>
    <w:rsid w:val="00402EFA"/>
    <w:rsid w:val="00403AA9"/>
    <w:rsid w:val="00403E56"/>
    <w:rsid w:val="004046D4"/>
    <w:rsid w:val="00405C05"/>
    <w:rsid w:val="00405FA7"/>
    <w:rsid w:val="00406BF7"/>
    <w:rsid w:val="00406C7B"/>
    <w:rsid w:val="00406D1C"/>
    <w:rsid w:val="00407048"/>
    <w:rsid w:val="00407559"/>
    <w:rsid w:val="004101D5"/>
    <w:rsid w:val="00410BF8"/>
    <w:rsid w:val="00414090"/>
    <w:rsid w:val="004154DB"/>
    <w:rsid w:val="00415AC6"/>
    <w:rsid w:val="00421130"/>
    <w:rsid w:val="00421ABE"/>
    <w:rsid w:val="00421F7E"/>
    <w:rsid w:val="00422024"/>
    <w:rsid w:val="00422BBD"/>
    <w:rsid w:val="0042378B"/>
    <w:rsid w:val="004240F7"/>
    <w:rsid w:val="004245C2"/>
    <w:rsid w:val="004246CE"/>
    <w:rsid w:val="00430DEE"/>
    <w:rsid w:val="00434052"/>
    <w:rsid w:val="0043497B"/>
    <w:rsid w:val="00434C5E"/>
    <w:rsid w:val="00435B24"/>
    <w:rsid w:val="00436406"/>
    <w:rsid w:val="004367C7"/>
    <w:rsid w:val="00440952"/>
    <w:rsid w:val="00442058"/>
    <w:rsid w:val="00442189"/>
    <w:rsid w:val="004438E6"/>
    <w:rsid w:val="00445448"/>
    <w:rsid w:val="004502B8"/>
    <w:rsid w:val="00451C4E"/>
    <w:rsid w:val="00453E23"/>
    <w:rsid w:val="00454139"/>
    <w:rsid w:val="00454715"/>
    <w:rsid w:val="004552D8"/>
    <w:rsid w:val="0045732E"/>
    <w:rsid w:val="00461793"/>
    <w:rsid w:val="00461DF5"/>
    <w:rsid w:val="00461EA7"/>
    <w:rsid w:val="00461F19"/>
    <w:rsid w:val="004620E6"/>
    <w:rsid w:val="00465B6A"/>
    <w:rsid w:val="00466401"/>
    <w:rsid w:val="00470FA3"/>
    <w:rsid w:val="00471FAC"/>
    <w:rsid w:val="004737E4"/>
    <w:rsid w:val="004747CB"/>
    <w:rsid w:val="0047614C"/>
    <w:rsid w:val="004821E5"/>
    <w:rsid w:val="00482202"/>
    <w:rsid w:val="004854E7"/>
    <w:rsid w:val="0048687C"/>
    <w:rsid w:val="00487BA0"/>
    <w:rsid w:val="004937C3"/>
    <w:rsid w:val="00493E92"/>
    <w:rsid w:val="00494910"/>
    <w:rsid w:val="00496CF3"/>
    <w:rsid w:val="004975EA"/>
    <w:rsid w:val="004A1B5D"/>
    <w:rsid w:val="004A21E0"/>
    <w:rsid w:val="004A5741"/>
    <w:rsid w:val="004A5EA6"/>
    <w:rsid w:val="004A65E9"/>
    <w:rsid w:val="004B0E31"/>
    <w:rsid w:val="004B16CB"/>
    <w:rsid w:val="004B27C1"/>
    <w:rsid w:val="004B3765"/>
    <w:rsid w:val="004B4EF6"/>
    <w:rsid w:val="004B690E"/>
    <w:rsid w:val="004B6C3B"/>
    <w:rsid w:val="004B7ECA"/>
    <w:rsid w:val="004C4994"/>
    <w:rsid w:val="004C4D99"/>
    <w:rsid w:val="004C6F36"/>
    <w:rsid w:val="004C7250"/>
    <w:rsid w:val="004C73AB"/>
    <w:rsid w:val="004D1A00"/>
    <w:rsid w:val="004D1D7F"/>
    <w:rsid w:val="004D3EFB"/>
    <w:rsid w:val="004D5BD0"/>
    <w:rsid w:val="004D7728"/>
    <w:rsid w:val="004E3531"/>
    <w:rsid w:val="004E5B60"/>
    <w:rsid w:val="004E5D24"/>
    <w:rsid w:val="004E6086"/>
    <w:rsid w:val="004F004E"/>
    <w:rsid w:val="004F1E2A"/>
    <w:rsid w:val="004F27E7"/>
    <w:rsid w:val="004F4FD3"/>
    <w:rsid w:val="004F5900"/>
    <w:rsid w:val="00501D0E"/>
    <w:rsid w:val="005032E4"/>
    <w:rsid w:val="005032F8"/>
    <w:rsid w:val="00503A51"/>
    <w:rsid w:val="0050428B"/>
    <w:rsid w:val="00506DDA"/>
    <w:rsid w:val="00506F01"/>
    <w:rsid w:val="005100AE"/>
    <w:rsid w:val="0051151A"/>
    <w:rsid w:val="00511525"/>
    <w:rsid w:val="00513C41"/>
    <w:rsid w:val="00515448"/>
    <w:rsid w:val="005158A7"/>
    <w:rsid w:val="0051756B"/>
    <w:rsid w:val="005221B0"/>
    <w:rsid w:val="00523136"/>
    <w:rsid w:val="00525360"/>
    <w:rsid w:val="005253DE"/>
    <w:rsid w:val="00525AC4"/>
    <w:rsid w:val="005264DA"/>
    <w:rsid w:val="00527164"/>
    <w:rsid w:val="005300F4"/>
    <w:rsid w:val="0053084B"/>
    <w:rsid w:val="0053509B"/>
    <w:rsid w:val="00540FAA"/>
    <w:rsid w:val="0054670C"/>
    <w:rsid w:val="00550105"/>
    <w:rsid w:val="005508A3"/>
    <w:rsid w:val="0055385C"/>
    <w:rsid w:val="00554081"/>
    <w:rsid w:val="005551D9"/>
    <w:rsid w:val="00555D97"/>
    <w:rsid w:val="00556C5C"/>
    <w:rsid w:val="00557821"/>
    <w:rsid w:val="00560482"/>
    <w:rsid w:val="00560DB2"/>
    <w:rsid w:val="00566EF8"/>
    <w:rsid w:val="00570715"/>
    <w:rsid w:val="00571C8E"/>
    <w:rsid w:val="005720CA"/>
    <w:rsid w:val="00572D50"/>
    <w:rsid w:val="00573147"/>
    <w:rsid w:val="00574478"/>
    <w:rsid w:val="00575022"/>
    <w:rsid w:val="00577454"/>
    <w:rsid w:val="005779DF"/>
    <w:rsid w:val="00581CDD"/>
    <w:rsid w:val="00582077"/>
    <w:rsid w:val="00582426"/>
    <w:rsid w:val="0058274C"/>
    <w:rsid w:val="00583556"/>
    <w:rsid w:val="0058465D"/>
    <w:rsid w:val="0059233D"/>
    <w:rsid w:val="0059261A"/>
    <w:rsid w:val="00594641"/>
    <w:rsid w:val="005A17EB"/>
    <w:rsid w:val="005A4007"/>
    <w:rsid w:val="005A449A"/>
    <w:rsid w:val="005A5091"/>
    <w:rsid w:val="005A54F4"/>
    <w:rsid w:val="005A6929"/>
    <w:rsid w:val="005A7D7C"/>
    <w:rsid w:val="005B1AF9"/>
    <w:rsid w:val="005B3E96"/>
    <w:rsid w:val="005B44E5"/>
    <w:rsid w:val="005B47FC"/>
    <w:rsid w:val="005B5792"/>
    <w:rsid w:val="005C120A"/>
    <w:rsid w:val="005C31BD"/>
    <w:rsid w:val="005C4903"/>
    <w:rsid w:val="005C536E"/>
    <w:rsid w:val="005D07FF"/>
    <w:rsid w:val="005D0DA0"/>
    <w:rsid w:val="005D0E7B"/>
    <w:rsid w:val="005D2501"/>
    <w:rsid w:val="005D2A38"/>
    <w:rsid w:val="005D35D5"/>
    <w:rsid w:val="005D3D4E"/>
    <w:rsid w:val="005D44BE"/>
    <w:rsid w:val="005D51C4"/>
    <w:rsid w:val="005E0AC4"/>
    <w:rsid w:val="005E4433"/>
    <w:rsid w:val="005E69F6"/>
    <w:rsid w:val="005E7597"/>
    <w:rsid w:val="005F11B8"/>
    <w:rsid w:val="005F1425"/>
    <w:rsid w:val="005F3890"/>
    <w:rsid w:val="005F631D"/>
    <w:rsid w:val="005F6DF5"/>
    <w:rsid w:val="00600544"/>
    <w:rsid w:val="00602963"/>
    <w:rsid w:val="00602D15"/>
    <w:rsid w:val="00603B4D"/>
    <w:rsid w:val="0060458C"/>
    <w:rsid w:val="00604809"/>
    <w:rsid w:val="00606690"/>
    <w:rsid w:val="00607833"/>
    <w:rsid w:val="006113F6"/>
    <w:rsid w:val="00611635"/>
    <w:rsid w:val="0061235E"/>
    <w:rsid w:val="00612D10"/>
    <w:rsid w:val="00612ED6"/>
    <w:rsid w:val="0061301B"/>
    <w:rsid w:val="0061329E"/>
    <w:rsid w:val="00613785"/>
    <w:rsid w:val="00614F14"/>
    <w:rsid w:val="0061537E"/>
    <w:rsid w:val="00616A31"/>
    <w:rsid w:val="0061782C"/>
    <w:rsid w:val="00620FF4"/>
    <w:rsid w:val="00621B06"/>
    <w:rsid w:val="006224F8"/>
    <w:rsid w:val="0062255B"/>
    <w:rsid w:val="006231AA"/>
    <w:rsid w:val="00623C05"/>
    <w:rsid w:val="006274BC"/>
    <w:rsid w:val="00631472"/>
    <w:rsid w:val="006335AF"/>
    <w:rsid w:val="00633C51"/>
    <w:rsid w:val="006346AC"/>
    <w:rsid w:val="00635345"/>
    <w:rsid w:val="006364D3"/>
    <w:rsid w:val="006374A3"/>
    <w:rsid w:val="0063750A"/>
    <w:rsid w:val="006403B8"/>
    <w:rsid w:val="00640501"/>
    <w:rsid w:val="00640B68"/>
    <w:rsid w:val="00640BE1"/>
    <w:rsid w:val="006414A4"/>
    <w:rsid w:val="006414F6"/>
    <w:rsid w:val="00642B66"/>
    <w:rsid w:val="006446C7"/>
    <w:rsid w:val="0064533A"/>
    <w:rsid w:val="00645580"/>
    <w:rsid w:val="00645AEF"/>
    <w:rsid w:val="0064773D"/>
    <w:rsid w:val="006512D7"/>
    <w:rsid w:val="006529F1"/>
    <w:rsid w:val="00654275"/>
    <w:rsid w:val="006545DB"/>
    <w:rsid w:val="0065586E"/>
    <w:rsid w:val="006558B4"/>
    <w:rsid w:val="00655DB2"/>
    <w:rsid w:val="00664945"/>
    <w:rsid w:val="00665264"/>
    <w:rsid w:val="006656A9"/>
    <w:rsid w:val="00665E05"/>
    <w:rsid w:val="00666EFA"/>
    <w:rsid w:val="00670B09"/>
    <w:rsid w:val="0067227F"/>
    <w:rsid w:val="00673381"/>
    <w:rsid w:val="00675B0C"/>
    <w:rsid w:val="00677A4F"/>
    <w:rsid w:val="00680F45"/>
    <w:rsid w:val="00681890"/>
    <w:rsid w:val="00681D22"/>
    <w:rsid w:val="006824F1"/>
    <w:rsid w:val="00682677"/>
    <w:rsid w:val="00683005"/>
    <w:rsid w:val="006830A5"/>
    <w:rsid w:val="006860C3"/>
    <w:rsid w:val="006863BF"/>
    <w:rsid w:val="00691920"/>
    <w:rsid w:val="00692C6E"/>
    <w:rsid w:val="0069553E"/>
    <w:rsid w:val="00695946"/>
    <w:rsid w:val="00695DB3"/>
    <w:rsid w:val="00696081"/>
    <w:rsid w:val="0069780E"/>
    <w:rsid w:val="00697C1A"/>
    <w:rsid w:val="006A059F"/>
    <w:rsid w:val="006A19AA"/>
    <w:rsid w:val="006A1B9B"/>
    <w:rsid w:val="006A1EF8"/>
    <w:rsid w:val="006A292C"/>
    <w:rsid w:val="006A39A1"/>
    <w:rsid w:val="006A422B"/>
    <w:rsid w:val="006A4C3A"/>
    <w:rsid w:val="006A570B"/>
    <w:rsid w:val="006A74BB"/>
    <w:rsid w:val="006B023F"/>
    <w:rsid w:val="006B06C1"/>
    <w:rsid w:val="006B18D9"/>
    <w:rsid w:val="006B1984"/>
    <w:rsid w:val="006B1BC4"/>
    <w:rsid w:val="006B1F78"/>
    <w:rsid w:val="006B602B"/>
    <w:rsid w:val="006B659A"/>
    <w:rsid w:val="006B6C3C"/>
    <w:rsid w:val="006B708F"/>
    <w:rsid w:val="006B7F60"/>
    <w:rsid w:val="006C0B7F"/>
    <w:rsid w:val="006C1528"/>
    <w:rsid w:val="006C2C21"/>
    <w:rsid w:val="006C59C0"/>
    <w:rsid w:val="006C60D2"/>
    <w:rsid w:val="006C65A5"/>
    <w:rsid w:val="006C7477"/>
    <w:rsid w:val="006C751A"/>
    <w:rsid w:val="006C75E1"/>
    <w:rsid w:val="006C7BAD"/>
    <w:rsid w:val="006D1507"/>
    <w:rsid w:val="006D18A6"/>
    <w:rsid w:val="006D2B00"/>
    <w:rsid w:val="006D3967"/>
    <w:rsid w:val="006D6FF9"/>
    <w:rsid w:val="006E054C"/>
    <w:rsid w:val="006E0638"/>
    <w:rsid w:val="006E17C1"/>
    <w:rsid w:val="006E33AF"/>
    <w:rsid w:val="006E63A6"/>
    <w:rsid w:val="006E69FF"/>
    <w:rsid w:val="006E6AED"/>
    <w:rsid w:val="006E6D16"/>
    <w:rsid w:val="006F0A78"/>
    <w:rsid w:val="006F1596"/>
    <w:rsid w:val="006F300C"/>
    <w:rsid w:val="006F4831"/>
    <w:rsid w:val="006F4B2A"/>
    <w:rsid w:val="006F5214"/>
    <w:rsid w:val="006F58BB"/>
    <w:rsid w:val="006F5A97"/>
    <w:rsid w:val="006F72EB"/>
    <w:rsid w:val="00702E54"/>
    <w:rsid w:val="00705533"/>
    <w:rsid w:val="00705E8F"/>
    <w:rsid w:val="00706F61"/>
    <w:rsid w:val="00707A4E"/>
    <w:rsid w:val="00710EE5"/>
    <w:rsid w:val="0071131E"/>
    <w:rsid w:val="00712461"/>
    <w:rsid w:val="0071327F"/>
    <w:rsid w:val="007138D4"/>
    <w:rsid w:val="0071422A"/>
    <w:rsid w:val="00714405"/>
    <w:rsid w:val="00714D4E"/>
    <w:rsid w:val="00717CAF"/>
    <w:rsid w:val="00720257"/>
    <w:rsid w:val="00720449"/>
    <w:rsid w:val="0072182F"/>
    <w:rsid w:val="00722B7E"/>
    <w:rsid w:val="00723608"/>
    <w:rsid w:val="00723ED0"/>
    <w:rsid w:val="00724281"/>
    <w:rsid w:val="0072468B"/>
    <w:rsid w:val="00725F51"/>
    <w:rsid w:val="00727416"/>
    <w:rsid w:val="00727829"/>
    <w:rsid w:val="00730405"/>
    <w:rsid w:val="007328B4"/>
    <w:rsid w:val="00732BE0"/>
    <w:rsid w:val="00733043"/>
    <w:rsid w:val="0073645A"/>
    <w:rsid w:val="00736F9D"/>
    <w:rsid w:val="0074072A"/>
    <w:rsid w:val="00740D7E"/>
    <w:rsid w:val="00741F25"/>
    <w:rsid w:val="00746AD6"/>
    <w:rsid w:val="007475C4"/>
    <w:rsid w:val="00754D56"/>
    <w:rsid w:val="007556D2"/>
    <w:rsid w:val="00756883"/>
    <w:rsid w:val="00757698"/>
    <w:rsid w:val="00760127"/>
    <w:rsid w:val="007601FE"/>
    <w:rsid w:val="00760D67"/>
    <w:rsid w:val="007612F7"/>
    <w:rsid w:val="00762C95"/>
    <w:rsid w:val="00763318"/>
    <w:rsid w:val="0076591F"/>
    <w:rsid w:val="007660DD"/>
    <w:rsid w:val="007665C1"/>
    <w:rsid w:val="00770B1C"/>
    <w:rsid w:val="00770FA8"/>
    <w:rsid w:val="007710F1"/>
    <w:rsid w:val="00771AED"/>
    <w:rsid w:val="00772565"/>
    <w:rsid w:val="00772CC7"/>
    <w:rsid w:val="00773A8E"/>
    <w:rsid w:val="00774620"/>
    <w:rsid w:val="0077641E"/>
    <w:rsid w:val="007875A9"/>
    <w:rsid w:val="00790CED"/>
    <w:rsid w:val="0079137B"/>
    <w:rsid w:val="00792271"/>
    <w:rsid w:val="00793B20"/>
    <w:rsid w:val="00794A8C"/>
    <w:rsid w:val="00795A15"/>
    <w:rsid w:val="00796E26"/>
    <w:rsid w:val="00797A90"/>
    <w:rsid w:val="007A058D"/>
    <w:rsid w:val="007A1528"/>
    <w:rsid w:val="007A24CA"/>
    <w:rsid w:val="007A32D2"/>
    <w:rsid w:val="007A3BB5"/>
    <w:rsid w:val="007A7ED2"/>
    <w:rsid w:val="007B00D1"/>
    <w:rsid w:val="007B0A2E"/>
    <w:rsid w:val="007B183D"/>
    <w:rsid w:val="007B1FEE"/>
    <w:rsid w:val="007B2941"/>
    <w:rsid w:val="007B2D57"/>
    <w:rsid w:val="007B33F4"/>
    <w:rsid w:val="007B3DE8"/>
    <w:rsid w:val="007B44EE"/>
    <w:rsid w:val="007B5208"/>
    <w:rsid w:val="007B56AA"/>
    <w:rsid w:val="007C1E1A"/>
    <w:rsid w:val="007C393A"/>
    <w:rsid w:val="007C3BA7"/>
    <w:rsid w:val="007C3E18"/>
    <w:rsid w:val="007C4113"/>
    <w:rsid w:val="007C562A"/>
    <w:rsid w:val="007C5BED"/>
    <w:rsid w:val="007C7EC1"/>
    <w:rsid w:val="007D1E7C"/>
    <w:rsid w:val="007D2714"/>
    <w:rsid w:val="007D3644"/>
    <w:rsid w:val="007D3787"/>
    <w:rsid w:val="007D3F48"/>
    <w:rsid w:val="007D427E"/>
    <w:rsid w:val="007D6704"/>
    <w:rsid w:val="007D79D8"/>
    <w:rsid w:val="007D7A41"/>
    <w:rsid w:val="007D7D80"/>
    <w:rsid w:val="007E0600"/>
    <w:rsid w:val="007E07A8"/>
    <w:rsid w:val="007E1945"/>
    <w:rsid w:val="007E46C4"/>
    <w:rsid w:val="007E6AC4"/>
    <w:rsid w:val="007E729C"/>
    <w:rsid w:val="007E75A8"/>
    <w:rsid w:val="007F1901"/>
    <w:rsid w:val="007F39AC"/>
    <w:rsid w:val="007F4119"/>
    <w:rsid w:val="007F42EA"/>
    <w:rsid w:val="007F49AA"/>
    <w:rsid w:val="007F69FB"/>
    <w:rsid w:val="007F75FE"/>
    <w:rsid w:val="00800A6F"/>
    <w:rsid w:val="008010EE"/>
    <w:rsid w:val="00802A1A"/>
    <w:rsid w:val="00802C38"/>
    <w:rsid w:val="0080319E"/>
    <w:rsid w:val="008032F5"/>
    <w:rsid w:val="008048EC"/>
    <w:rsid w:val="0080724B"/>
    <w:rsid w:val="00810791"/>
    <w:rsid w:val="00810F93"/>
    <w:rsid w:val="00811540"/>
    <w:rsid w:val="00813A92"/>
    <w:rsid w:val="00813C83"/>
    <w:rsid w:val="00814330"/>
    <w:rsid w:val="008154DA"/>
    <w:rsid w:val="00816FC1"/>
    <w:rsid w:val="008176DA"/>
    <w:rsid w:val="00820AC0"/>
    <w:rsid w:val="00820C56"/>
    <w:rsid w:val="00820F59"/>
    <w:rsid w:val="008240D8"/>
    <w:rsid w:val="00826AF2"/>
    <w:rsid w:val="008276D5"/>
    <w:rsid w:val="0083143C"/>
    <w:rsid w:val="00831D95"/>
    <w:rsid w:val="00832001"/>
    <w:rsid w:val="00836779"/>
    <w:rsid w:val="00843DEB"/>
    <w:rsid w:val="00844F77"/>
    <w:rsid w:val="00845610"/>
    <w:rsid w:val="008465E4"/>
    <w:rsid w:val="00852E67"/>
    <w:rsid w:val="008556E7"/>
    <w:rsid w:val="00860BDC"/>
    <w:rsid w:val="008616E2"/>
    <w:rsid w:val="00861724"/>
    <w:rsid w:val="00863104"/>
    <w:rsid w:val="00863B2D"/>
    <w:rsid w:val="00865275"/>
    <w:rsid w:val="00866B8D"/>
    <w:rsid w:val="00872ED5"/>
    <w:rsid w:val="0087319A"/>
    <w:rsid w:val="00873290"/>
    <w:rsid w:val="00873E3F"/>
    <w:rsid w:val="008758B5"/>
    <w:rsid w:val="0088025D"/>
    <w:rsid w:val="0088086B"/>
    <w:rsid w:val="00880F5E"/>
    <w:rsid w:val="00881443"/>
    <w:rsid w:val="008815B8"/>
    <w:rsid w:val="00882177"/>
    <w:rsid w:val="00883017"/>
    <w:rsid w:val="008841BD"/>
    <w:rsid w:val="008851D2"/>
    <w:rsid w:val="00886BB0"/>
    <w:rsid w:val="00890F77"/>
    <w:rsid w:val="00891815"/>
    <w:rsid w:val="00891AB4"/>
    <w:rsid w:val="00892BD8"/>
    <w:rsid w:val="00893491"/>
    <w:rsid w:val="00894780"/>
    <w:rsid w:val="00895511"/>
    <w:rsid w:val="00896382"/>
    <w:rsid w:val="008977B1"/>
    <w:rsid w:val="00897DB3"/>
    <w:rsid w:val="008A047B"/>
    <w:rsid w:val="008A06F8"/>
    <w:rsid w:val="008A217E"/>
    <w:rsid w:val="008A31BE"/>
    <w:rsid w:val="008A375F"/>
    <w:rsid w:val="008A70BD"/>
    <w:rsid w:val="008A77C0"/>
    <w:rsid w:val="008A7F26"/>
    <w:rsid w:val="008B1C39"/>
    <w:rsid w:val="008B232B"/>
    <w:rsid w:val="008B2BCA"/>
    <w:rsid w:val="008B3B44"/>
    <w:rsid w:val="008B4AE4"/>
    <w:rsid w:val="008B5778"/>
    <w:rsid w:val="008B6451"/>
    <w:rsid w:val="008B79E8"/>
    <w:rsid w:val="008C0CCA"/>
    <w:rsid w:val="008C0E18"/>
    <w:rsid w:val="008C15F9"/>
    <w:rsid w:val="008C428B"/>
    <w:rsid w:val="008D1A4F"/>
    <w:rsid w:val="008D1F34"/>
    <w:rsid w:val="008D3FB6"/>
    <w:rsid w:val="008D4B08"/>
    <w:rsid w:val="008D657E"/>
    <w:rsid w:val="008D6B9C"/>
    <w:rsid w:val="008D70C9"/>
    <w:rsid w:val="008E0822"/>
    <w:rsid w:val="008E0870"/>
    <w:rsid w:val="008E0E19"/>
    <w:rsid w:val="008E0EA2"/>
    <w:rsid w:val="008E175C"/>
    <w:rsid w:val="008E2D47"/>
    <w:rsid w:val="008E545F"/>
    <w:rsid w:val="008E5EEE"/>
    <w:rsid w:val="008F085B"/>
    <w:rsid w:val="008F145E"/>
    <w:rsid w:val="008F14AF"/>
    <w:rsid w:val="008F1F99"/>
    <w:rsid w:val="008F1FD2"/>
    <w:rsid w:val="008F4272"/>
    <w:rsid w:val="008F43B3"/>
    <w:rsid w:val="008F701D"/>
    <w:rsid w:val="008F7CA0"/>
    <w:rsid w:val="009006AA"/>
    <w:rsid w:val="009019FD"/>
    <w:rsid w:val="00901E24"/>
    <w:rsid w:val="009034C1"/>
    <w:rsid w:val="00906C98"/>
    <w:rsid w:val="0090759E"/>
    <w:rsid w:val="00907816"/>
    <w:rsid w:val="00907A7E"/>
    <w:rsid w:val="00910DE1"/>
    <w:rsid w:val="009127CC"/>
    <w:rsid w:val="00912A0A"/>
    <w:rsid w:val="00913E82"/>
    <w:rsid w:val="00914010"/>
    <w:rsid w:val="009143CF"/>
    <w:rsid w:val="00920442"/>
    <w:rsid w:val="00920F22"/>
    <w:rsid w:val="00921550"/>
    <w:rsid w:val="009249B6"/>
    <w:rsid w:val="00925806"/>
    <w:rsid w:val="00926A8E"/>
    <w:rsid w:val="009273D0"/>
    <w:rsid w:val="00927EE5"/>
    <w:rsid w:val="00931738"/>
    <w:rsid w:val="00931AB2"/>
    <w:rsid w:val="00932C08"/>
    <w:rsid w:val="009333F4"/>
    <w:rsid w:val="00937ADE"/>
    <w:rsid w:val="009418F4"/>
    <w:rsid w:val="00941C70"/>
    <w:rsid w:val="009455C0"/>
    <w:rsid w:val="00945C31"/>
    <w:rsid w:val="00954C24"/>
    <w:rsid w:val="0095528C"/>
    <w:rsid w:val="009559D2"/>
    <w:rsid w:val="00960286"/>
    <w:rsid w:val="00961122"/>
    <w:rsid w:val="00962841"/>
    <w:rsid w:val="0096401E"/>
    <w:rsid w:val="00964F43"/>
    <w:rsid w:val="00965F08"/>
    <w:rsid w:val="00970E2F"/>
    <w:rsid w:val="009717B2"/>
    <w:rsid w:val="00977B18"/>
    <w:rsid w:val="00981C23"/>
    <w:rsid w:val="00981DE4"/>
    <w:rsid w:val="009871EB"/>
    <w:rsid w:val="00990DA1"/>
    <w:rsid w:val="009932A8"/>
    <w:rsid w:val="00993608"/>
    <w:rsid w:val="0099362E"/>
    <w:rsid w:val="00994655"/>
    <w:rsid w:val="00994B42"/>
    <w:rsid w:val="00995288"/>
    <w:rsid w:val="00995A77"/>
    <w:rsid w:val="00995A99"/>
    <w:rsid w:val="00996278"/>
    <w:rsid w:val="0099788C"/>
    <w:rsid w:val="009A088F"/>
    <w:rsid w:val="009A1065"/>
    <w:rsid w:val="009A42F2"/>
    <w:rsid w:val="009A5A4E"/>
    <w:rsid w:val="009A5EF7"/>
    <w:rsid w:val="009B0A65"/>
    <w:rsid w:val="009B31C4"/>
    <w:rsid w:val="009B43A1"/>
    <w:rsid w:val="009B4C3D"/>
    <w:rsid w:val="009B5E56"/>
    <w:rsid w:val="009B6969"/>
    <w:rsid w:val="009B6BEB"/>
    <w:rsid w:val="009B71F8"/>
    <w:rsid w:val="009C0042"/>
    <w:rsid w:val="009C2775"/>
    <w:rsid w:val="009C349A"/>
    <w:rsid w:val="009C39B4"/>
    <w:rsid w:val="009C6B5B"/>
    <w:rsid w:val="009D1041"/>
    <w:rsid w:val="009D1D03"/>
    <w:rsid w:val="009D3A08"/>
    <w:rsid w:val="009D72B3"/>
    <w:rsid w:val="009E1A6D"/>
    <w:rsid w:val="009E311B"/>
    <w:rsid w:val="009E3856"/>
    <w:rsid w:val="009E42C3"/>
    <w:rsid w:val="009E44A9"/>
    <w:rsid w:val="009E4BBC"/>
    <w:rsid w:val="009E4F8B"/>
    <w:rsid w:val="009E5C9A"/>
    <w:rsid w:val="009E5DC9"/>
    <w:rsid w:val="009E657B"/>
    <w:rsid w:val="009E6F59"/>
    <w:rsid w:val="009F05C5"/>
    <w:rsid w:val="009F22C0"/>
    <w:rsid w:val="009F2E68"/>
    <w:rsid w:val="009F64A5"/>
    <w:rsid w:val="009F66A2"/>
    <w:rsid w:val="009F795A"/>
    <w:rsid w:val="009F7DB6"/>
    <w:rsid w:val="00A00618"/>
    <w:rsid w:val="00A0065B"/>
    <w:rsid w:val="00A025FE"/>
    <w:rsid w:val="00A04D24"/>
    <w:rsid w:val="00A067E6"/>
    <w:rsid w:val="00A1128F"/>
    <w:rsid w:val="00A11E45"/>
    <w:rsid w:val="00A12057"/>
    <w:rsid w:val="00A1289F"/>
    <w:rsid w:val="00A12A0E"/>
    <w:rsid w:val="00A13316"/>
    <w:rsid w:val="00A147A0"/>
    <w:rsid w:val="00A1490A"/>
    <w:rsid w:val="00A14EB1"/>
    <w:rsid w:val="00A172E0"/>
    <w:rsid w:val="00A17A63"/>
    <w:rsid w:val="00A22F11"/>
    <w:rsid w:val="00A23DE9"/>
    <w:rsid w:val="00A247E1"/>
    <w:rsid w:val="00A24B42"/>
    <w:rsid w:val="00A24CBD"/>
    <w:rsid w:val="00A250A7"/>
    <w:rsid w:val="00A25BC0"/>
    <w:rsid w:val="00A276C4"/>
    <w:rsid w:val="00A30103"/>
    <w:rsid w:val="00A31883"/>
    <w:rsid w:val="00A34584"/>
    <w:rsid w:val="00A36BE9"/>
    <w:rsid w:val="00A372E8"/>
    <w:rsid w:val="00A37E16"/>
    <w:rsid w:val="00A4187A"/>
    <w:rsid w:val="00A41A1D"/>
    <w:rsid w:val="00A445BF"/>
    <w:rsid w:val="00A472CF"/>
    <w:rsid w:val="00A476A5"/>
    <w:rsid w:val="00A50183"/>
    <w:rsid w:val="00A5316E"/>
    <w:rsid w:val="00A533FE"/>
    <w:rsid w:val="00A5443F"/>
    <w:rsid w:val="00A55822"/>
    <w:rsid w:val="00A57ED9"/>
    <w:rsid w:val="00A61572"/>
    <w:rsid w:val="00A6175C"/>
    <w:rsid w:val="00A61BE7"/>
    <w:rsid w:val="00A62F46"/>
    <w:rsid w:val="00A63DE5"/>
    <w:rsid w:val="00A64BF6"/>
    <w:rsid w:val="00A65361"/>
    <w:rsid w:val="00A65883"/>
    <w:rsid w:val="00A66B96"/>
    <w:rsid w:val="00A6721C"/>
    <w:rsid w:val="00A67304"/>
    <w:rsid w:val="00A67FFA"/>
    <w:rsid w:val="00A70A34"/>
    <w:rsid w:val="00A710FD"/>
    <w:rsid w:val="00A71489"/>
    <w:rsid w:val="00A7221C"/>
    <w:rsid w:val="00A7299F"/>
    <w:rsid w:val="00A74D34"/>
    <w:rsid w:val="00A765C8"/>
    <w:rsid w:val="00A80E57"/>
    <w:rsid w:val="00A81009"/>
    <w:rsid w:val="00A81AAB"/>
    <w:rsid w:val="00A8306A"/>
    <w:rsid w:val="00A84398"/>
    <w:rsid w:val="00A84919"/>
    <w:rsid w:val="00A853ED"/>
    <w:rsid w:val="00A944BD"/>
    <w:rsid w:val="00A9465B"/>
    <w:rsid w:val="00A94B0C"/>
    <w:rsid w:val="00A95BFE"/>
    <w:rsid w:val="00A96425"/>
    <w:rsid w:val="00AA39EE"/>
    <w:rsid w:val="00AA4069"/>
    <w:rsid w:val="00AA59E1"/>
    <w:rsid w:val="00AA75D1"/>
    <w:rsid w:val="00AA79E0"/>
    <w:rsid w:val="00AB4911"/>
    <w:rsid w:val="00AB7E8D"/>
    <w:rsid w:val="00AC1282"/>
    <w:rsid w:val="00AC1A95"/>
    <w:rsid w:val="00AC33DB"/>
    <w:rsid w:val="00AC57AC"/>
    <w:rsid w:val="00AC6335"/>
    <w:rsid w:val="00AC6643"/>
    <w:rsid w:val="00AD122E"/>
    <w:rsid w:val="00AD1966"/>
    <w:rsid w:val="00AD1F02"/>
    <w:rsid w:val="00AD2EBF"/>
    <w:rsid w:val="00AD40AD"/>
    <w:rsid w:val="00AD4C8B"/>
    <w:rsid w:val="00AD7349"/>
    <w:rsid w:val="00AD7F12"/>
    <w:rsid w:val="00AE0233"/>
    <w:rsid w:val="00AE0574"/>
    <w:rsid w:val="00AE18F6"/>
    <w:rsid w:val="00AE3E1B"/>
    <w:rsid w:val="00AE3EB6"/>
    <w:rsid w:val="00AE5301"/>
    <w:rsid w:val="00AE6229"/>
    <w:rsid w:val="00AE6AAB"/>
    <w:rsid w:val="00AE79FE"/>
    <w:rsid w:val="00AF0305"/>
    <w:rsid w:val="00AF0CA4"/>
    <w:rsid w:val="00AF22B7"/>
    <w:rsid w:val="00AF291D"/>
    <w:rsid w:val="00AF35EF"/>
    <w:rsid w:val="00AF41C1"/>
    <w:rsid w:val="00AF4E13"/>
    <w:rsid w:val="00AF5873"/>
    <w:rsid w:val="00AF6208"/>
    <w:rsid w:val="00AF6B3B"/>
    <w:rsid w:val="00AF762B"/>
    <w:rsid w:val="00AF7778"/>
    <w:rsid w:val="00AF77DF"/>
    <w:rsid w:val="00B0190F"/>
    <w:rsid w:val="00B02A59"/>
    <w:rsid w:val="00B03370"/>
    <w:rsid w:val="00B06002"/>
    <w:rsid w:val="00B06022"/>
    <w:rsid w:val="00B070F8"/>
    <w:rsid w:val="00B13330"/>
    <w:rsid w:val="00B14E88"/>
    <w:rsid w:val="00B152F1"/>
    <w:rsid w:val="00B15C54"/>
    <w:rsid w:val="00B15C6F"/>
    <w:rsid w:val="00B2095E"/>
    <w:rsid w:val="00B2254D"/>
    <w:rsid w:val="00B235D7"/>
    <w:rsid w:val="00B2412D"/>
    <w:rsid w:val="00B24552"/>
    <w:rsid w:val="00B25EF2"/>
    <w:rsid w:val="00B30E81"/>
    <w:rsid w:val="00B31B5E"/>
    <w:rsid w:val="00B3222C"/>
    <w:rsid w:val="00B33880"/>
    <w:rsid w:val="00B33D8E"/>
    <w:rsid w:val="00B33E8F"/>
    <w:rsid w:val="00B357D7"/>
    <w:rsid w:val="00B40676"/>
    <w:rsid w:val="00B40D49"/>
    <w:rsid w:val="00B40D88"/>
    <w:rsid w:val="00B420BA"/>
    <w:rsid w:val="00B426B9"/>
    <w:rsid w:val="00B438D7"/>
    <w:rsid w:val="00B45403"/>
    <w:rsid w:val="00B46221"/>
    <w:rsid w:val="00B47224"/>
    <w:rsid w:val="00B47A54"/>
    <w:rsid w:val="00B514BF"/>
    <w:rsid w:val="00B5152C"/>
    <w:rsid w:val="00B52E1B"/>
    <w:rsid w:val="00B52FCF"/>
    <w:rsid w:val="00B53582"/>
    <w:rsid w:val="00B54D05"/>
    <w:rsid w:val="00B55733"/>
    <w:rsid w:val="00B57383"/>
    <w:rsid w:val="00B5784E"/>
    <w:rsid w:val="00B57981"/>
    <w:rsid w:val="00B62460"/>
    <w:rsid w:val="00B63355"/>
    <w:rsid w:val="00B65ADD"/>
    <w:rsid w:val="00B66697"/>
    <w:rsid w:val="00B7015D"/>
    <w:rsid w:val="00B70587"/>
    <w:rsid w:val="00B70AC2"/>
    <w:rsid w:val="00B70D10"/>
    <w:rsid w:val="00B72125"/>
    <w:rsid w:val="00B73570"/>
    <w:rsid w:val="00B735AF"/>
    <w:rsid w:val="00B746B0"/>
    <w:rsid w:val="00B7492A"/>
    <w:rsid w:val="00B7579D"/>
    <w:rsid w:val="00B75968"/>
    <w:rsid w:val="00B77B28"/>
    <w:rsid w:val="00B80249"/>
    <w:rsid w:val="00B80F2E"/>
    <w:rsid w:val="00B8297B"/>
    <w:rsid w:val="00B82D94"/>
    <w:rsid w:val="00B83836"/>
    <w:rsid w:val="00B87623"/>
    <w:rsid w:val="00B91028"/>
    <w:rsid w:val="00B912F1"/>
    <w:rsid w:val="00B91502"/>
    <w:rsid w:val="00B91C4A"/>
    <w:rsid w:val="00B924A4"/>
    <w:rsid w:val="00B92EAE"/>
    <w:rsid w:val="00B9398C"/>
    <w:rsid w:val="00B93E4C"/>
    <w:rsid w:val="00B9685B"/>
    <w:rsid w:val="00B976E8"/>
    <w:rsid w:val="00B97DB1"/>
    <w:rsid w:val="00BA01DE"/>
    <w:rsid w:val="00BA1C62"/>
    <w:rsid w:val="00BA4F99"/>
    <w:rsid w:val="00BA547C"/>
    <w:rsid w:val="00BA54AA"/>
    <w:rsid w:val="00BB302D"/>
    <w:rsid w:val="00BB3052"/>
    <w:rsid w:val="00BB3DC3"/>
    <w:rsid w:val="00BB45C5"/>
    <w:rsid w:val="00BB48E8"/>
    <w:rsid w:val="00BB4DEE"/>
    <w:rsid w:val="00BC0B64"/>
    <w:rsid w:val="00BC0D85"/>
    <w:rsid w:val="00BC1D98"/>
    <w:rsid w:val="00BC2192"/>
    <w:rsid w:val="00BC2A43"/>
    <w:rsid w:val="00BC2A5C"/>
    <w:rsid w:val="00BC4E67"/>
    <w:rsid w:val="00BC699D"/>
    <w:rsid w:val="00BC6EBC"/>
    <w:rsid w:val="00BC737F"/>
    <w:rsid w:val="00BC7BFF"/>
    <w:rsid w:val="00BD00A6"/>
    <w:rsid w:val="00BD34F8"/>
    <w:rsid w:val="00BD4AF0"/>
    <w:rsid w:val="00BE21D3"/>
    <w:rsid w:val="00BE25DE"/>
    <w:rsid w:val="00BE2EC0"/>
    <w:rsid w:val="00BE35E0"/>
    <w:rsid w:val="00BE3670"/>
    <w:rsid w:val="00BE521D"/>
    <w:rsid w:val="00BE5F6B"/>
    <w:rsid w:val="00BE749B"/>
    <w:rsid w:val="00BF020E"/>
    <w:rsid w:val="00BF36CD"/>
    <w:rsid w:val="00BF57E6"/>
    <w:rsid w:val="00BF64C2"/>
    <w:rsid w:val="00C01872"/>
    <w:rsid w:val="00C01CB0"/>
    <w:rsid w:val="00C023B4"/>
    <w:rsid w:val="00C03585"/>
    <w:rsid w:val="00C05D43"/>
    <w:rsid w:val="00C05F80"/>
    <w:rsid w:val="00C07416"/>
    <w:rsid w:val="00C10C04"/>
    <w:rsid w:val="00C10EC9"/>
    <w:rsid w:val="00C11375"/>
    <w:rsid w:val="00C11D53"/>
    <w:rsid w:val="00C12AB8"/>
    <w:rsid w:val="00C1489F"/>
    <w:rsid w:val="00C1554D"/>
    <w:rsid w:val="00C15B7B"/>
    <w:rsid w:val="00C1703F"/>
    <w:rsid w:val="00C17E15"/>
    <w:rsid w:val="00C21823"/>
    <w:rsid w:val="00C219BB"/>
    <w:rsid w:val="00C23433"/>
    <w:rsid w:val="00C23914"/>
    <w:rsid w:val="00C23FF6"/>
    <w:rsid w:val="00C242FA"/>
    <w:rsid w:val="00C24FC9"/>
    <w:rsid w:val="00C2599C"/>
    <w:rsid w:val="00C2689F"/>
    <w:rsid w:val="00C26F5C"/>
    <w:rsid w:val="00C2751B"/>
    <w:rsid w:val="00C30C10"/>
    <w:rsid w:val="00C316FE"/>
    <w:rsid w:val="00C36068"/>
    <w:rsid w:val="00C360F3"/>
    <w:rsid w:val="00C365AC"/>
    <w:rsid w:val="00C365CE"/>
    <w:rsid w:val="00C4070F"/>
    <w:rsid w:val="00C42A14"/>
    <w:rsid w:val="00C42E0B"/>
    <w:rsid w:val="00C43341"/>
    <w:rsid w:val="00C435BC"/>
    <w:rsid w:val="00C44ADC"/>
    <w:rsid w:val="00C44C2E"/>
    <w:rsid w:val="00C45084"/>
    <w:rsid w:val="00C45A84"/>
    <w:rsid w:val="00C46DA8"/>
    <w:rsid w:val="00C47BF4"/>
    <w:rsid w:val="00C509AD"/>
    <w:rsid w:val="00C51834"/>
    <w:rsid w:val="00C51A37"/>
    <w:rsid w:val="00C53BC7"/>
    <w:rsid w:val="00C5406B"/>
    <w:rsid w:val="00C549EB"/>
    <w:rsid w:val="00C6054D"/>
    <w:rsid w:val="00C626DE"/>
    <w:rsid w:val="00C628D0"/>
    <w:rsid w:val="00C65A9B"/>
    <w:rsid w:val="00C70AF0"/>
    <w:rsid w:val="00C70F7C"/>
    <w:rsid w:val="00C719A6"/>
    <w:rsid w:val="00C719B3"/>
    <w:rsid w:val="00C72875"/>
    <w:rsid w:val="00C746FF"/>
    <w:rsid w:val="00C74A80"/>
    <w:rsid w:val="00C74ECF"/>
    <w:rsid w:val="00C7510D"/>
    <w:rsid w:val="00C81EE9"/>
    <w:rsid w:val="00C83F10"/>
    <w:rsid w:val="00C857CD"/>
    <w:rsid w:val="00C9104D"/>
    <w:rsid w:val="00C91839"/>
    <w:rsid w:val="00C92113"/>
    <w:rsid w:val="00C92604"/>
    <w:rsid w:val="00C9400C"/>
    <w:rsid w:val="00C943BF"/>
    <w:rsid w:val="00C95053"/>
    <w:rsid w:val="00C96C06"/>
    <w:rsid w:val="00CA1AD3"/>
    <w:rsid w:val="00CA2D81"/>
    <w:rsid w:val="00CA4273"/>
    <w:rsid w:val="00CA442D"/>
    <w:rsid w:val="00CA4AA2"/>
    <w:rsid w:val="00CA64B8"/>
    <w:rsid w:val="00CA6B5E"/>
    <w:rsid w:val="00CA750C"/>
    <w:rsid w:val="00CA7CA1"/>
    <w:rsid w:val="00CB02B9"/>
    <w:rsid w:val="00CB16E5"/>
    <w:rsid w:val="00CB1F42"/>
    <w:rsid w:val="00CB25E7"/>
    <w:rsid w:val="00CB3496"/>
    <w:rsid w:val="00CB53DC"/>
    <w:rsid w:val="00CB5694"/>
    <w:rsid w:val="00CB5EBA"/>
    <w:rsid w:val="00CB6454"/>
    <w:rsid w:val="00CB7273"/>
    <w:rsid w:val="00CB7282"/>
    <w:rsid w:val="00CC02E0"/>
    <w:rsid w:val="00CC036A"/>
    <w:rsid w:val="00CC1A9A"/>
    <w:rsid w:val="00CC33DC"/>
    <w:rsid w:val="00CC3910"/>
    <w:rsid w:val="00CC5241"/>
    <w:rsid w:val="00CC5383"/>
    <w:rsid w:val="00CC76FD"/>
    <w:rsid w:val="00CC7EF4"/>
    <w:rsid w:val="00CD10A4"/>
    <w:rsid w:val="00CD256D"/>
    <w:rsid w:val="00CD647C"/>
    <w:rsid w:val="00CD6E48"/>
    <w:rsid w:val="00CD790D"/>
    <w:rsid w:val="00CE018D"/>
    <w:rsid w:val="00CE0C63"/>
    <w:rsid w:val="00CE17A5"/>
    <w:rsid w:val="00CE2E51"/>
    <w:rsid w:val="00CE4FB5"/>
    <w:rsid w:val="00CE63D0"/>
    <w:rsid w:val="00CE738A"/>
    <w:rsid w:val="00CF0619"/>
    <w:rsid w:val="00CF0FEC"/>
    <w:rsid w:val="00CF1B8A"/>
    <w:rsid w:val="00CF29C8"/>
    <w:rsid w:val="00CF2FA8"/>
    <w:rsid w:val="00CF3D22"/>
    <w:rsid w:val="00CF46AA"/>
    <w:rsid w:val="00D01C6E"/>
    <w:rsid w:val="00D025F0"/>
    <w:rsid w:val="00D03393"/>
    <w:rsid w:val="00D03E18"/>
    <w:rsid w:val="00D069AC"/>
    <w:rsid w:val="00D07E1C"/>
    <w:rsid w:val="00D1038B"/>
    <w:rsid w:val="00D116C1"/>
    <w:rsid w:val="00D12571"/>
    <w:rsid w:val="00D13372"/>
    <w:rsid w:val="00D138AD"/>
    <w:rsid w:val="00D15986"/>
    <w:rsid w:val="00D2027C"/>
    <w:rsid w:val="00D202A6"/>
    <w:rsid w:val="00D225E6"/>
    <w:rsid w:val="00D23700"/>
    <w:rsid w:val="00D23DFD"/>
    <w:rsid w:val="00D262E2"/>
    <w:rsid w:val="00D26C4A"/>
    <w:rsid w:val="00D27553"/>
    <w:rsid w:val="00D27765"/>
    <w:rsid w:val="00D30A53"/>
    <w:rsid w:val="00D31B50"/>
    <w:rsid w:val="00D37C80"/>
    <w:rsid w:val="00D413A6"/>
    <w:rsid w:val="00D41BF3"/>
    <w:rsid w:val="00D41F9B"/>
    <w:rsid w:val="00D42E9F"/>
    <w:rsid w:val="00D431EB"/>
    <w:rsid w:val="00D46209"/>
    <w:rsid w:val="00D4736E"/>
    <w:rsid w:val="00D50B8F"/>
    <w:rsid w:val="00D50E74"/>
    <w:rsid w:val="00D51942"/>
    <w:rsid w:val="00D531E5"/>
    <w:rsid w:val="00D54109"/>
    <w:rsid w:val="00D5515E"/>
    <w:rsid w:val="00D55536"/>
    <w:rsid w:val="00D5759D"/>
    <w:rsid w:val="00D60562"/>
    <w:rsid w:val="00D60EE9"/>
    <w:rsid w:val="00D61192"/>
    <w:rsid w:val="00D61289"/>
    <w:rsid w:val="00D62450"/>
    <w:rsid w:val="00D62D02"/>
    <w:rsid w:val="00D62EED"/>
    <w:rsid w:val="00D63146"/>
    <w:rsid w:val="00D639FB"/>
    <w:rsid w:val="00D63A90"/>
    <w:rsid w:val="00D63F81"/>
    <w:rsid w:val="00D64024"/>
    <w:rsid w:val="00D64781"/>
    <w:rsid w:val="00D64B2E"/>
    <w:rsid w:val="00D64CAD"/>
    <w:rsid w:val="00D65D8C"/>
    <w:rsid w:val="00D6792C"/>
    <w:rsid w:val="00D70EF7"/>
    <w:rsid w:val="00D712B2"/>
    <w:rsid w:val="00D7132E"/>
    <w:rsid w:val="00D77282"/>
    <w:rsid w:val="00D80116"/>
    <w:rsid w:val="00D8035B"/>
    <w:rsid w:val="00D80EEF"/>
    <w:rsid w:val="00D81ED2"/>
    <w:rsid w:val="00D838C2"/>
    <w:rsid w:val="00D84B82"/>
    <w:rsid w:val="00D8768A"/>
    <w:rsid w:val="00D9229A"/>
    <w:rsid w:val="00D941CD"/>
    <w:rsid w:val="00D94491"/>
    <w:rsid w:val="00D944BC"/>
    <w:rsid w:val="00D957DE"/>
    <w:rsid w:val="00D95EDE"/>
    <w:rsid w:val="00D974FD"/>
    <w:rsid w:val="00D97E3D"/>
    <w:rsid w:val="00DA02DB"/>
    <w:rsid w:val="00DA0864"/>
    <w:rsid w:val="00DA1098"/>
    <w:rsid w:val="00DA2641"/>
    <w:rsid w:val="00DA2A43"/>
    <w:rsid w:val="00DA39E8"/>
    <w:rsid w:val="00DA4309"/>
    <w:rsid w:val="00DA4C5F"/>
    <w:rsid w:val="00DA5D51"/>
    <w:rsid w:val="00DA6742"/>
    <w:rsid w:val="00DA6A83"/>
    <w:rsid w:val="00DA7AE2"/>
    <w:rsid w:val="00DB0EF5"/>
    <w:rsid w:val="00DB1132"/>
    <w:rsid w:val="00DB12BA"/>
    <w:rsid w:val="00DB15DE"/>
    <w:rsid w:val="00DB1809"/>
    <w:rsid w:val="00DB1F52"/>
    <w:rsid w:val="00DB26DE"/>
    <w:rsid w:val="00DB2F24"/>
    <w:rsid w:val="00DB55A6"/>
    <w:rsid w:val="00DB56BD"/>
    <w:rsid w:val="00DB7445"/>
    <w:rsid w:val="00DB7F53"/>
    <w:rsid w:val="00DC1EFA"/>
    <w:rsid w:val="00DC5796"/>
    <w:rsid w:val="00DC5953"/>
    <w:rsid w:val="00DC72DE"/>
    <w:rsid w:val="00DC736B"/>
    <w:rsid w:val="00DC7FAE"/>
    <w:rsid w:val="00DD0BFF"/>
    <w:rsid w:val="00DD16C9"/>
    <w:rsid w:val="00DD2748"/>
    <w:rsid w:val="00DD2ED0"/>
    <w:rsid w:val="00DD35E8"/>
    <w:rsid w:val="00DD44CA"/>
    <w:rsid w:val="00DD4995"/>
    <w:rsid w:val="00DD4B5F"/>
    <w:rsid w:val="00DD556E"/>
    <w:rsid w:val="00DD601A"/>
    <w:rsid w:val="00DD61C8"/>
    <w:rsid w:val="00DD6B3F"/>
    <w:rsid w:val="00DD6B9E"/>
    <w:rsid w:val="00DD6E5B"/>
    <w:rsid w:val="00DE4EA5"/>
    <w:rsid w:val="00DE51B8"/>
    <w:rsid w:val="00DE6028"/>
    <w:rsid w:val="00DE6FD0"/>
    <w:rsid w:val="00DF10D1"/>
    <w:rsid w:val="00DF2759"/>
    <w:rsid w:val="00DF31DE"/>
    <w:rsid w:val="00DF46A3"/>
    <w:rsid w:val="00DF6FCA"/>
    <w:rsid w:val="00E01775"/>
    <w:rsid w:val="00E035E0"/>
    <w:rsid w:val="00E0384E"/>
    <w:rsid w:val="00E064ED"/>
    <w:rsid w:val="00E06608"/>
    <w:rsid w:val="00E06CE7"/>
    <w:rsid w:val="00E06FDF"/>
    <w:rsid w:val="00E115B1"/>
    <w:rsid w:val="00E128A6"/>
    <w:rsid w:val="00E12C3E"/>
    <w:rsid w:val="00E135D8"/>
    <w:rsid w:val="00E142E0"/>
    <w:rsid w:val="00E16CA2"/>
    <w:rsid w:val="00E17FA8"/>
    <w:rsid w:val="00E20093"/>
    <w:rsid w:val="00E20203"/>
    <w:rsid w:val="00E20961"/>
    <w:rsid w:val="00E2153A"/>
    <w:rsid w:val="00E22812"/>
    <w:rsid w:val="00E22BD6"/>
    <w:rsid w:val="00E23B30"/>
    <w:rsid w:val="00E23C36"/>
    <w:rsid w:val="00E2524C"/>
    <w:rsid w:val="00E25330"/>
    <w:rsid w:val="00E25B88"/>
    <w:rsid w:val="00E26127"/>
    <w:rsid w:val="00E277DE"/>
    <w:rsid w:val="00E30283"/>
    <w:rsid w:val="00E30DB5"/>
    <w:rsid w:val="00E321F2"/>
    <w:rsid w:val="00E325A3"/>
    <w:rsid w:val="00E327F3"/>
    <w:rsid w:val="00E34D9B"/>
    <w:rsid w:val="00E34EB6"/>
    <w:rsid w:val="00E402D7"/>
    <w:rsid w:val="00E4076E"/>
    <w:rsid w:val="00E41381"/>
    <w:rsid w:val="00E42C9B"/>
    <w:rsid w:val="00E4378A"/>
    <w:rsid w:val="00E45D85"/>
    <w:rsid w:val="00E46BFB"/>
    <w:rsid w:val="00E47438"/>
    <w:rsid w:val="00E478BE"/>
    <w:rsid w:val="00E479E3"/>
    <w:rsid w:val="00E50578"/>
    <w:rsid w:val="00E50E71"/>
    <w:rsid w:val="00E57688"/>
    <w:rsid w:val="00E57734"/>
    <w:rsid w:val="00E63A11"/>
    <w:rsid w:val="00E65293"/>
    <w:rsid w:val="00E66724"/>
    <w:rsid w:val="00E67561"/>
    <w:rsid w:val="00E67983"/>
    <w:rsid w:val="00E70ACF"/>
    <w:rsid w:val="00E71614"/>
    <w:rsid w:val="00E7195F"/>
    <w:rsid w:val="00E725B7"/>
    <w:rsid w:val="00E73054"/>
    <w:rsid w:val="00E7313E"/>
    <w:rsid w:val="00E7624E"/>
    <w:rsid w:val="00E80422"/>
    <w:rsid w:val="00E80D0A"/>
    <w:rsid w:val="00E80D27"/>
    <w:rsid w:val="00E81829"/>
    <w:rsid w:val="00E83AD2"/>
    <w:rsid w:val="00E8463A"/>
    <w:rsid w:val="00E84E40"/>
    <w:rsid w:val="00E85FE8"/>
    <w:rsid w:val="00E8696C"/>
    <w:rsid w:val="00E91483"/>
    <w:rsid w:val="00E954BD"/>
    <w:rsid w:val="00E97EED"/>
    <w:rsid w:val="00EA0033"/>
    <w:rsid w:val="00EA0353"/>
    <w:rsid w:val="00EA0ED7"/>
    <w:rsid w:val="00EA124C"/>
    <w:rsid w:val="00EA1A35"/>
    <w:rsid w:val="00EA2053"/>
    <w:rsid w:val="00EA2ADB"/>
    <w:rsid w:val="00EA2E82"/>
    <w:rsid w:val="00EA3347"/>
    <w:rsid w:val="00EA3770"/>
    <w:rsid w:val="00EA5702"/>
    <w:rsid w:val="00EA5721"/>
    <w:rsid w:val="00EA63AB"/>
    <w:rsid w:val="00EA654C"/>
    <w:rsid w:val="00EB0586"/>
    <w:rsid w:val="00EB1265"/>
    <w:rsid w:val="00EB1492"/>
    <w:rsid w:val="00EB1F8C"/>
    <w:rsid w:val="00EB22BE"/>
    <w:rsid w:val="00EB30C6"/>
    <w:rsid w:val="00EB4A86"/>
    <w:rsid w:val="00EB771F"/>
    <w:rsid w:val="00EC05BC"/>
    <w:rsid w:val="00EC137C"/>
    <w:rsid w:val="00EC1EBB"/>
    <w:rsid w:val="00EC2783"/>
    <w:rsid w:val="00EC4247"/>
    <w:rsid w:val="00EC6060"/>
    <w:rsid w:val="00EC7783"/>
    <w:rsid w:val="00ED281D"/>
    <w:rsid w:val="00ED29ED"/>
    <w:rsid w:val="00ED43F1"/>
    <w:rsid w:val="00ED494C"/>
    <w:rsid w:val="00ED5800"/>
    <w:rsid w:val="00EE05E0"/>
    <w:rsid w:val="00EE07E4"/>
    <w:rsid w:val="00EE1634"/>
    <w:rsid w:val="00EE3FE5"/>
    <w:rsid w:val="00EE4C13"/>
    <w:rsid w:val="00EF0F9C"/>
    <w:rsid w:val="00EF1AC2"/>
    <w:rsid w:val="00EF2CF9"/>
    <w:rsid w:val="00EF329D"/>
    <w:rsid w:val="00EF7766"/>
    <w:rsid w:val="00EF7ED0"/>
    <w:rsid w:val="00F00173"/>
    <w:rsid w:val="00F0059D"/>
    <w:rsid w:val="00F01889"/>
    <w:rsid w:val="00F02226"/>
    <w:rsid w:val="00F02DFC"/>
    <w:rsid w:val="00F03BCA"/>
    <w:rsid w:val="00F06BE2"/>
    <w:rsid w:val="00F077E6"/>
    <w:rsid w:val="00F10F48"/>
    <w:rsid w:val="00F11669"/>
    <w:rsid w:val="00F12C4B"/>
    <w:rsid w:val="00F13660"/>
    <w:rsid w:val="00F136F7"/>
    <w:rsid w:val="00F142BE"/>
    <w:rsid w:val="00F1434B"/>
    <w:rsid w:val="00F17473"/>
    <w:rsid w:val="00F17C88"/>
    <w:rsid w:val="00F216A5"/>
    <w:rsid w:val="00F22F89"/>
    <w:rsid w:val="00F239E5"/>
    <w:rsid w:val="00F245B8"/>
    <w:rsid w:val="00F25792"/>
    <w:rsid w:val="00F2751D"/>
    <w:rsid w:val="00F30E2D"/>
    <w:rsid w:val="00F3130E"/>
    <w:rsid w:val="00F32D47"/>
    <w:rsid w:val="00F33036"/>
    <w:rsid w:val="00F336A1"/>
    <w:rsid w:val="00F34A02"/>
    <w:rsid w:val="00F34FBD"/>
    <w:rsid w:val="00F35020"/>
    <w:rsid w:val="00F37F5E"/>
    <w:rsid w:val="00F442C1"/>
    <w:rsid w:val="00F529E8"/>
    <w:rsid w:val="00F53C22"/>
    <w:rsid w:val="00F53EF7"/>
    <w:rsid w:val="00F602E5"/>
    <w:rsid w:val="00F6035C"/>
    <w:rsid w:val="00F605EA"/>
    <w:rsid w:val="00F61832"/>
    <w:rsid w:val="00F63829"/>
    <w:rsid w:val="00F65BF7"/>
    <w:rsid w:val="00F67B78"/>
    <w:rsid w:val="00F67C0A"/>
    <w:rsid w:val="00F730F7"/>
    <w:rsid w:val="00F74938"/>
    <w:rsid w:val="00F754E5"/>
    <w:rsid w:val="00F765DB"/>
    <w:rsid w:val="00F76907"/>
    <w:rsid w:val="00F77DB5"/>
    <w:rsid w:val="00F82C8B"/>
    <w:rsid w:val="00F83F9B"/>
    <w:rsid w:val="00F84C70"/>
    <w:rsid w:val="00F85670"/>
    <w:rsid w:val="00F86FE5"/>
    <w:rsid w:val="00F87E0C"/>
    <w:rsid w:val="00F919BF"/>
    <w:rsid w:val="00F91AA9"/>
    <w:rsid w:val="00F95618"/>
    <w:rsid w:val="00F97597"/>
    <w:rsid w:val="00FA0F76"/>
    <w:rsid w:val="00FA245F"/>
    <w:rsid w:val="00FA55E8"/>
    <w:rsid w:val="00FA5AF7"/>
    <w:rsid w:val="00FA6F82"/>
    <w:rsid w:val="00FA7730"/>
    <w:rsid w:val="00FB205B"/>
    <w:rsid w:val="00FB217B"/>
    <w:rsid w:val="00FB21C8"/>
    <w:rsid w:val="00FB311D"/>
    <w:rsid w:val="00FB5AA5"/>
    <w:rsid w:val="00FB6701"/>
    <w:rsid w:val="00FB72CA"/>
    <w:rsid w:val="00FB79C0"/>
    <w:rsid w:val="00FC0188"/>
    <w:rsid w:val="00FC14C1"/>
    <w:rsid w:val="00FC450D"/>
    <w:rsid w:val="00FD0ECA"/>
    <w:rsid w:val="00FD26D9"/>
    <w:rsid w:val="00FD36DF"/>
    <w:rsid w:val="00FD406C"/>
    <w:rsid w:val="00FD5618"/>
    <w:rsid w:val="00FE3D2A"/>
    <w:rsid w:val="00FE7782"/>
    <w:rsid w:val="00FF0E5F"/>
    <w:rsid w:val="00FF26AE"/>
    <w:rsid w:val="00FF294A"/>
    <w:rsid w:val="00FF397F"/>
    <w:rsid w:val="00FF5CC4"/>
    <w:rsid w:val="00FF5F6B"/>
    <w:rsid w:val="00FF639B"/>
    <w:rsid w:val="00FF7160"/>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70D83F-F023-463A-881D-9019887DA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before="120" w:after="120" w:line="48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1D5"/>
    <w:rPr>
      <w:rFonts w:ascii="Times New Roman" w:hAnsi="Times New Roman" w:cs="Times New Roman"/>
      <w:sz w:val="24"/>
      <w:szCs w:val="24"/>
    </w:rPr>
  </w:style>
  <w:style w:type="paragraph" w:styleId="Heading1">
    <w:name w:val="heading 1"/>
    <w:basedOn w:val="Normal"/>
    <w:next w:val="Normal"/>
    <w:link w:val="Heading1Char"/>
    <w:uiPriority w:val="9"/>
    <w:qFormat/>
    <w:rsid w:val="00C92113"/>
    <w:pPr>
      <w:keepNext/>
      <w:keepLines/>
      <w:numPr>
        <w:numId w:val="30"/>
      </w:numPr>
      <w:spacing w:before="480" w:after="240"/>
      <w:outlineLvl w:val="0"/>
    </w:pPr>
    <w:rPr>
      <w:rFonts w:eastAsiaTheme="majorEastAsia"/>
      <w:b/>
      <w:bCs/>
      <w:sz w:val="28"/>
      <w:szCs w:val="28"/>
    </w:rPr>
  </w:style>
  <w:style w:type="paragraph" w:styleId="Heading2">
    <w:name w:val="heading 2"/>
    <w:basedOn w:val="Normal"/>
    <w:next w:val="Normal"/>
    <w:link w:val="Heading2Char"/>
    <w:uiPriority w:val="9"/>
    <w:unhideWhenUsed/>
    <w:qFormat/>
    <w:rsid w:val="00F63829"/>
    <w:pPr>
      <w:keepNext/>
      <w:keepLines/>
      <w:numPr>
        <w:ilvl w:val="1"/>
        <w:numId w:val="30"/>
      </w:numPr>
      <w:spacing w:before="240"/>
      <w:ind w:left="578" w:hanging="578"/>
      <w:outlineLvl w:val="1"/>
    </w:pPr>
    <w:rPr>
      <w:rFonts w:eastAsiaTheme="majorEastAsia"/>
      <w:b/>
      <w:bCs/>
      <w:sz w:val="26"/>
      <w:szCs w:val="26"/>
    </w:rPr>
  </w:style>
  <w:style w:type="paragraph" w:styleId="Heading3">
    <w:name w:val="heading 3"/>
    <w:basedOn w:val="Normal"/>
    <w:next w:val="Normal"/>
    <w:link w:val="Heading3Char"/>
    <w:uiPriority w:val="9"/>
    <w:unhideWhenUsed/>
    <w:qFormat/>
    <w:rsid w:val="00DD0BFF"/>
    <w:pPr>
      <w:keepNext/>
      <w:keepLines/>
      <w:numPr>
        <w:ilvl w:val="2"/>
        <w:numId w:val="30"/>
      </w:numPr>
      <w:spacing w:before="200"/>
      <w:jc w:val="left"/>
      <w:outlineLvl w:val="2"/>
    </w:pPr>
    <w:rPr>
      <w:rFonts w:eastAsiaTheme="majorEastAsia"/>
      <w:b/>
      <w:bCs/>
    </w:rPr>
  </w:style>
  <w:style w:type="paragraph" w:styleId="Heading4">
    <w:name w:val="heading 4"/>
    <w:basedOn w:val="Normal"/>
    <w:next w:val="Normal"/>
    <w:link w:val="Heading4Char"/>
    <w:uiPriority w:val="9"/>
    <w:unhideWhenUsed/>
    <w:qFormat/>
    <w:rsid w:val="006446C7"/>
    <w:pPr>
      <w:keepNext/>
      <w:keepLines/>
      <w:numPr>
        <w:ilvl w:val="3"/>
        <w:numId w:val="30"/>
      </w:numPr>
      <w:spacing w:before="200"/>
      <w:outlineLvl w:val="3"/>
    </w:pPr>
    <w:rPr>
      <w:rFonts w:eastAsiaTheme="majorEastAsia"/>
      <w:b/>
      <w:bCs/>
      <w:i/>
      <w:iCs/>
    </w:rPr>
  </w:style>
  <w:style w:type="paragraph" w:styleId="Heading5">
    <w:name w:val="heading 5"/>
    <w:basedOn w:val="Normal"/>
    <w:next w:val="Normal"/>
    <w:link w:val="Heading5Char"/>
    <w:uiPriority w:val="9"/>
    <w:unhideWhenUsed/>
    <w:qFormat/>
    <w:rsid w:val="00F765DB"/>
    <w:pPr>
      <w:keepNext/>
      <w:keepLines/>
      <w:numPr>
        <w:ilvl w:val="4"/>
        <w:numId w:val="30"/>
      </w:numPr>
      <w:spacing w:before="200"/>
      <w:outlineLvl w:val="4"/>
    </w:pPr>
    <w:rPr>
      <w:rFonts w:eastAsiaTheme="majorEastAsia"/>
    </w:rPr>
  </w:style>
  <w:style w:type="paragraph" w:styleId="Heading6">
    <w:name w:val="heading 6"/>
    <w:basedOn w:val="Heading7"/>
    <w:next w:val="Normal"/>
    <w:link w:val="Heading6Char"/>
    <w:uiPriority w:val="9"/>
    <w:unhideWhenUsed/>
    <w:qFormat/>
    <w:rsid w:val="00832001"/>
    <w:pPr>
      <w:numPr>
        <w:ilvl w:val="5"/>
      </w:numPr>
      <w:spacing w:after="120"/>
      <w:outlineLvl w:val="5"/>
    </w:pPr>
    <w:rPr>
      <w:rFonts w:ascii="Times New Roman" w:hAnsi="Times New Roman" w:cs="Times New Roman"/>
    </w:rPr>
  </w:style>
  <w:style w:type="paragraph" w:styleId="Heading7">
    <w:name w:val="heading 7"/>
    <w:basedOn w:val="Normal"/>
    <w:next w:val="Normal"/>
    <w:link w:val="Heading7Char"/>
    <w:uiPriority w:val="9"/>
    <w:unhideWhenUsed/>
    <w:qFormat/>
    <w:rsid w:val="00995288"/>
    <w:pPr>
      <w:keepNext/>
      <w:keepLines/>
      <w:numPr>
        <w:ilvl w:val="6"/>
        <w:numId w:val="30"/>
      </w:numPr>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3B5441"/>
    <w:pPr>
      <w:keepNext/>
      <w:keepLines/>
      <w:numPr>
        <w:ilvl w:val="7"/>
        <w:numId w:val="3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3B5441"/>
    <w:pPr>
      <w:keepNext/>
      <w:keepLines/>
      <w:numPr>
        <w:ilvl w:val="8"/>
        <w:numId w:val="3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5441"/>
    <w:pPr>
      <w:ind w:left="720"/>
      <w:contextualSpacing/>
    </w:pPr>
  </w:style>
  <w:style w:type="character" w:customStyle="1" w:styleId="Heading1Char">
    <w:name w:val="Heading 1 Char"/>
    <w:basedOn w:val="DefaultParagraphFont"/>
    <w:link w:val="Heading1"/>
    <w:uiPriority w:val="9"/>
    <w:rsid w:val="00C92113"/>
    <w:rPr>
      <w:rFonts w:ascii="Times New Roman" w:eastAsiaTheme="majorEastAsia" w:hAnsi="Times New Roman" w:cs="Times New Roman"/>
      <w:b/>
      <w:bCs/>
      <w:sz w:val="28"/>
      <w:szCs w:val="28"/>
    </w:rPr>
  </w:style>
  <w:style w:type="character" w:customStyle="1" w:styleId="Heading2Char">
    <w:name w:val="Heading 2 Char"/>
    <w:basedOn w:val="DefaultParagraphFont"/>
    <w:link w:val="Heading2"/>
    <w:uiPriority w:val="9"/>
    <w:rsid w:val="00F63829"/>
    <w:rPr>
      <w:rFonts w:ascii="Times New Roman" w:eastAsiaTheme="majorEastAsia" w:hAnsi="Times New Roman" w:cs="Times New Roman"/>
      <w:b/>
      <w:bCs/>
      <w:sz w:val="26"/>
      <w:szCs w:val="26"/>
    </w:rPr>
  </w:style>
  <w:style w:type="character" w:customStyle="1" w:styleId="Heading3Char">
    <w:name w:val="Heading 3 Char"/>
    <w:basedOn w:val="DefaultParagraphFont"/>
    <w:link w:val="Heading3"/>
    <w:uiPriority w:val="9"/>
    <w:rsid w:val="00DD0BFF"/>
    <w:rPr>
      <w:rFonts w:ascii="Times New Roman" w:eastAsiaTheme="majorEastAsia" w:hAnsi="Times New Roman" w:cs="Times New Roman"/>
      <w:b/>
      <w:bCs/>
      <w:sz w:val="24"/>
      <w:szCs w:val="24"/>
    </w:rPr>
  </w:style>
  <w:style w:type="character" w:customStyle="1" w:styleId="Heading4Char">
    <w:name w:val="Heading 4 Char"/>
    <w:basedOn w:val="DefaultParagraphFont"/>
    <w:link w:val="Heading4"/>
    <w:uiPriority w:val="9"/>
    <w:rsid w:val="006446C7"/>
    <w:rPr>
      <w:rFonts w:ascii="Times New Roman" w:eastAsiaTheme="majorEastAsia" w:hAnsi="Times New Roman" w:cs="Times New Roman"/>
      <w:b/>
      <w:bCs/>
      <w:i/>
      <w:iCs/>
      <w:sz w:val="24"/>
      <w:szCs w:val="24"/>
    </w:rPr>
  </w:style>
  <w:style w:type="character" w:customStyle="1" w:styleId="Heading5Char">
    <w:name w:val="Heading 5 Char"/>
    <w:basedOn w:val="DefaultParagraphFont"/>
    <w:link w:val="Heading5"/>
    <w:uiPriority w:val="9"/>
    <w:rsid w:val="00F765DB"/>
    <w:rPr>
      <w:rFonts w:ascii="Times New Roman" w:eastAsiaTheme="majorEastAsia" w:hAnsi="Times New Roman" w:cs="Times New Roman"/>
      <w:sz w:val="24"/>
      <w:szCs w:val="24"/>
    </w:rPr>
  </w:style>
  <w:style w:type="character" w:customStyle="1" w:styleId="Heading6Char">
    <w:name w:val="Heading 6 Char"/>
    <w:basedOn w:val="DefaultParagraphFont"/>
    <w:link w:val="Heading6"/>
    <w:uiPriority w:val="9"/>
    <w:rsid w:val="00832001"/>
    <w:rPr>
      <w:rFonts w:ascii="Times New Roman" w:eastAsiaTheme="majorEastAsia" w:hAnsi="Times New Roman" w:cs="Times New Roman"/>
      <w:i/>
      <w:iCs/>
      <w:sz w:val="24"/>
      <w:szCs w:val="24"/>
    </w:rPr>
  </w:style>
  <w:style w:type="character" w:customStyle="1" w:styleId="Heading7Char">
    <w:name w:val="Heading 7 Char"/>
    <w:basedOn w:val="DefaultParagraphFont"/>
    <w:link w:val="Heading7"/>
    <w:uiPriority w:val="9"/>
    <w:rsid w:val="00995288"/>
    <w:rPr>
      <w:rFonts w:asciiTheme="majorHAnsi" w:eastAsiaTheme="majorEastAsia" w:hAnsiTheme="majorHAnsi" w:cstheme="majorBidi"/>
      <w:i/>
      <w:iCs/>
      <w:sz w:val="24"/>
      <w:szCs w:val="24"/>
    </w:rPr>
  </w:style>
  <w:style w:type="character" w:customStyle="1" w:styleId="Heading8Char">
    <w:name w:val="Heading 8 Char"/>
    <w:basedOn w:val="DefaultParagraphFont"/>
    <w:link w:val="Heading8"/>
    <w:uiPriority w:val="9"/>
    <w:rsid w:val="003B544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3B5441"/>
    <w:rPr>
      <w:rFonts w:asciiTheme="majorHAnsi" w:eastAsiaTheme="majorEastAsia" w:hAnsiTheme="majorHAnsi" w:cstheme="majorBidi"/>
      <w:i/>
      <w:iCs/>
      <w:color w:val="404040" w:themeColor="text1" w:themeTint="BF"/>
      <w:sz w:val="20"/>
      <w:szCs w:val="20"/>
    </w:rPr>
  </w:style>
  <w:style w:type="paragraph" w:customStyle="1" w:styleId="Chapter">
    <w:name w:val="Chapter"/>
    <w:basedOn w:val="Heading1"/>
    <w:link w:val="ChapterChar"/>
    <w:qFormat/>
    <w:rsid w:val="003B5441"/>
    <w:pPr>
      <w:numPr>
        <w:numId w:val="1"/>
      </w:numPr>
    </w:pPr>
  </w:style>
  <w:style w:type="character" w:customStyle="1" w:styleId="ChapterChar">
    <w:name w:val="Chapter Char"/>
    <w:basedOn w:val="Heading1Char"/>
    <w:link w:val="Chapter"/>
    <w:rsid w:val="003B5441"/>
    <w:rPr>
      <w:rFonts w:ascii="Times New Roman" w:eastAsiaTheme="majorEastAsia" w:hAnsi="Times New Roman" w:cs="Times New Roman"/>
      <w:b/>
      <w:bCs/>
      <w:sz w:val="28"/>
      <w:szCs w:val="28"/>
    </w:rPr>
  </w:style>
  <w:style w:type="paragraph" w:styleId="NoSpacing">
    <w:name w:val="No Spacing"/>
    <w:uiPriority w:val="1"/>
    <w:rsid w:val="00995288"/>
    <w:pPr>
      <w:spacing w:before="0" w:after="0" w:line="240" w:lineRule="auto"/>
    </w:pPr>
    <w:rPr>
      <w:rFonts w:ascii="Times New Roman" w:hAnsi="Times New Roman" w:cs="Times New Roman"/>
      <w:sz w:val="24"/>
      <w:szCs w:val="24"/>
    </w:rPr>
  </w:style>
  <w:style w:type="paragraph" w:styleId="Subtitle">
    <w:name w:val="Subtitle"/>
    <w:basedOn w:val="Normal"/>
    <w:next w:val="Normal"/>
    <w:link w:val="SubtitleChar"/>
    <w:uiPriority w:val="11"/>
    <w:rsid w:val="00995288"/>
    <w:pPr>
      <w:numPr>
        <w:ilvl w:val="1"/>
      </w:numPr>
      <w:ind w:firstLine="709"/>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95288"/>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995288"/>
    <w:rPr>
      <w:b/>
      <w:sz w:val="52"/>
      <w:szCs w:val="52"/>
    </w:rPr>
  </w:style>
  <w:style w:type="character" w:customStyle="1" w:styleId="TitleChar">
    <w:name w:val="Title Char"/>
    <w:basedOn w:val="DefaultParagraphFont"/>
    <w:link w:val="Title"/>
    <w:rsid w:val="00995288"/>
    <w:rPr>
      <w:rFonts w:ascii="Times New Roman" w:hAnsi="Times New Roman" w:cs="Times New Roman"/>
      <w:b/>
      <w:sz w:val="52"/>
      <w:szCs w:val="52"/>
    </w:rPr>
  </w:style>
  <w:style w:type="table" w:styleId="TableGrid">
    <w:name w:val="Table Grid"/>
    <w:basedOn w:val="TableNormal"/>
    <w:uiPriority w:val="59"/>
    <w:rsid w:val="0083200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1">
    <w:name w:val="Appendix Heading 1"/>
    <w:basedOn w:val="Normal"/>
    <w:next w:val="Normal"/>
    <w:rsid w:val="00832001"/>
    <w:pPr>
      <w:numPr>
        <w:numId w:val="3"/>
      </w:numPr>
      <w:tabs>
        <w:tab w:val="num" w:pos="360"/>
      </w:tabs>
      <w:spacing w:before="0" w:after="0"/>
      <w:jc w:val="center"/>
    </w:pPr>
    <w:rPr>
      <w:rFonts w:ascii="Times New (W1)" w:eastAsia="Times New Roman" w:hAnsi="Times New (W1)"/>
      <w:b/>
      <w:caps/>
      <w:lang w:val="en-CA" w:eastAsia="en-US"/>
    </w:rPr>
  </w:style>
  <w:style w:type="paragraph" w:customStyle="1" w:styleId="AppendixHeading2">
    <w:name w:val="Appendix Heading 2"/>
    <w:basedOn w:val="Normal"/>
    <w:next w:val="Normal"/>
    <w:rsid w:val="00832001"/>
    <w:pPr>
      <w:keepNext/>
      <w:numPr>
        <w:ilvl w:val="1"/>
        <w:numId w:val="3"/>
      </w:numPr>
      <w:tabs>
        <w:tab w:val="num" w:pos="360"/>
      </w:tabs>
      <w:spacing w:before="0" w:after="0"/>
      <w:ind w:left="0" w:firstLine="0"/>
      <w:jc w:val="left"/>
    </w:pPr>
    <w:rPr>
      <w:rFonts w:eastAsia="Times New Roman"/>
      <w:b/>
      <w:szCs w:val="20"/>
      <w:lang w:val="en-CA" w:eastAsia="en-US"/>
    </w:rPr>
  </w:style>
  <w:style w:type="paragraph" w:customStyle="1" w:styleId="AppendixHeading3">
    <w:name w:val="Appendix Heading 3"/>
    <w:basedOn w:val="Normal"/>
    <w:next w:val="Normal"/>
    <w:rsid w:val="00832001"/>
    <w:pPr>
      <w:numPr>
        <w:ilvl w:val="2"/>
        <w:numId w:val="3"/>
      </w:numPr>
      <w:tabs>
        <w:tab w:val="num" w:pos="360"/>
      </w:tabs>
      <w:spacing w:before="0" w:after="0"/>
      <w:ind w:left="0" w:firstLine="0"/>
      <w:jc w:val="left"/>
    </w:pPr>
    <w:rPr>
      <w:rFonts w:eastAsia="Times New Roman"/>
      <w:b/>
      <w:i/>
      <w:szCs w:val="20"/>
      <w:lang w:val="en-CA" w:eastAsia="en-US"/>
    </w:rPr>
  </w:style>
  <w:style w:type="character" w:styleId="Hyperlink">
    <w:name w:val="Hyperlink"/>
    <w:basedOn w:val="DefaultParagraphFont"/>
    <w:uiPriority w:val="99"/>
    <w:unhideWhenUsed/>
    <w:rsid w:val="00832001"/>
    <w:rPr>
      <w:color w:val="0000FF" w:themeColor="hyperlink"/>
      <w:u w:val="single"/>
    </w:rPr>
  </w:style>
  <w:style w:type="paragraph" w:styleId="Header">
    <w:name w:val="header"/>
    <w:basedOn w:val="Normal"/>
    <w:link w:val="HeaderChar"/>
    <w:unhideWhenUsed/>
    <w:rsid w:val="0083200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32001"/>
    <w:rPr>
      <w:rFonts w:ascii="Times New Roman" w:hAnsi="Times New Roman" w:cs="Times New Roman"/>
      <w:sz w:val="24"/>
      <w:szCs w:val="24"/>
    </w:rPr>
  </w:style>
  <w:style w:type="paragraph" w:styleId="Footer">
    <w:name w:val="footer"/>
    <w:basedOn w:val="Normal"/>
    <w:link w:val="FooterChar"/>
    <w:uiPriority w:val="99"/>
    <w:unhideWhenUsed/>
    <w:rsid w:val="0083200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32001"/>
    <w:rPr>
      <w:rFonts w:ascii="Times New Roman" w:hAnsi="Times New Roman" w:cs="Times New Roman"/>
      <w:sz w:val="24"/>
      <w:szCs w:val="24"/>
    </w:rPr>
  </w:style>
  <w:style w:type="paragraph" w:customStyle="1" w:styleId="Tablecaption">
    <w:name w:val="Table caption"/>
    <w:basedOn w:val="List"/>
    <w:link w:val="TablecaptionChar"/>
    <w:autoRedefine/>
    <w:qFormat/>
    <w:rsid w:val="00962841"/>
    <w:pPr>
      <w:spacing w:before="240" w:after="0" w:line="360" w:lineRule="auto"/>
      <w:ind w:left="0" w:firstLine="0"/>
    </w:pPr>
    <w:rPr>
      <w:b/>
    </w:rPr>
  </w:style>
  <w:style w:type="paragraph" w:styleId="Caption">
    <w:name w:val="caption"/>
    <w:basedOn w:val="Tablecaption"/>
    <w:next w:val="Normal"/>
    <w:link w:val="CaptionChar"/>
    <w:uiPriority w:val="35"/>
    <w:unhideWhenUsed/>
    <w:qFormat/>
    <w:rsid w:val="00106126"/>
    <w:pPr>
      <w:spacing w:after="480"/>
      <w:contextualSpacing w:val="0"/>
    </w:pPr>
  </w:style>
  <w:style w:type="character" w:customStyle="1" w:styleId="TablecaptionChar">
    <w:name w:val="Table caption Char"/>
    <w:basedOn w:val="DefaultParagraphFont"/>
    <w:link w:val="Tablecaption"/>
    <w:rsid w:val="00962841"/>
    <w:rPr>
      <w:rFonts w:ascii="Times New Roman" w:hAnsi="Times New Roman" w:cs="Times New Roman"/>
      <w:b/>
      <w:sz w:val="24"/>
      <w:szCs w:val="24"/>
    </w:rPr>
  </w:style>
  <w:style w:type="paragraph" w:customStyle="1" w:styleId="Picture">
    <w:name w:val="Picture"/>
    <w:basedOn w:val="Normal"/>
    <w:link w:val="PictureChar"/>
    <w:qFormat/>
    <w:rsid w:val="001D287F"/>
    <w:pPr>
      <w:spacing w:before="480" w:after="0" w:line="240" w:lineRule="auto"/>
      <w:jc w:val="center"/>
    </w:pPr>
    <w:rPr>
      <w:b/>
      <w:lang w:val="en-CA"/>
    </w:rPr>
  </w:style>
  <w:style w:type="paragraph" w:styleId="List">
    <w:name w:val="List"/>
    <w:basedOn w:val="Normal"/>
    <w:uiPriority w:val="99"/>
    <w:semiHidden/>
    <w:unhideWhenUsed/>
    <w:rsid w:val="00C9104D"/>
    <w:pPr>
      <w:ind w:left="283" w:hanging="283"/>
      <w:contextualSpacing/>
    </w:pPr>
  </w:style>
  <w:style w:type="paragraph" w:customStyle="1" w:styleId="Figurecaption">
    <w:name w:val="Figure caption"/>
    <w:basedOn w:val="Caption"/>
    <w:link w:val="FigurecaptionChar"/>
    <w:rsid w:val="00845610"/>
    <w:pPr>
      <w:spacing w:before="0"/>
    </w:pPr>
    <w:rPr>
      <w:lang w:val="en-CA"/>
    </w:rPr>
  </w:style>
  <w:style w:type="character" w:customStyle="1" w:styleId="PictureChar">
    <w:name w:val="Picture Char"/>
    <w:basedOn w:val="DefaultParagraphFont"/>
    <w:link w:val="Picture"/>
    <w:rsid w:val="001D287F"/>
    <w:rPr>
      <w:rFonts w:ascii="Times New Roman" w:hAnsi="Times New Roman" w:cs="Times New Roman"/>
      <w:b/>
      <w:sz w:val="24"/>
      <w:szCs w:val="24"/>
      <w:lang w:val="en-CA"/>
    </w:rPr>
  </w:style>
  <w:style w:type="character" w:styleId="FootnoteReference">
    <w:name w:val="footnote reference"/>
    <w:basedOn w:val="DefaultParagraphFont"/>
    <w:semiHidden/>
    <w:rsid w:val="00EA1A35"/>
    <w:rPr>
      <w:vertAlign w:val="superscript"/>
    </w:rPr>
  </w:style>
  <w:style w:type="paragraph" w:styleId="TOC5">
    <w:name w:val="toc 5"/>
    <w:basedOn w:val="Normal"/>
    <w:next w:val="Normal"/>
    <w:uiPriority w:val="39"/>
    <w:rsid w:val="00EA1A35"/>
    <w:pPr>
      <w:tabs>
        <w:tab w:val="right" w:leader="dot" w:pos="8640"/>
      </w:tabs>
      <w:spacing w:before="0" w:after="0" w:line="240" w:lineRule="auto"/>
      <w:ind w:left="1613" w:right="360" w:hanging="648"/>
      <w:jc w:val="left"/>
    </w:pPr>
    <w:rPr>
      <w:rFonts w:eastAsia="Times New Roman"/>
      <w:szCs w:val="20"/>
      <w:lang w:val="en-CA" w:eastAsia="en-US"/>
    </w:rPr>
  </w:style>
  <w:style w:type="paragraph" w:customStyle="1" w:styleId="TableHeading">
    <w:name w:val="Table Heading"/>
    <w:basedOn w:val="Normal"/>
    <w:next w:val="Normal"/>
    <w:rsid w:val="00EA1A35"/>
    <w:pPr>
      <w:spacing w:before="0" w:line="240" w:lineRule="auto"/>
      <w:jc w:val="center"/>
    </w:pPr>
    <w:rPr>
      <w:rFonts w:eastAsia="Times New Roman"/>
      <w:b/>
      <w:szCs w:val="20"/>
      <w:lang w:val="en-CA" w:eastAsia="en-US"/>
    </w:rPr>
  </w:style>
  <w:style w:type="paragraph" w:customStyle="1" w:styleId="FigureHeading">
    <w:name w:val="Figure Heading"/>
    <w:basedOn w:val="Normal"/>
    <w:next w:val="Normal"/>
    <w:rsid w:val="00EA1A35"/>
    <w:pPr>
      <w:spacing w:before="0" w:line="240" w:lineRule="auto"/>
      <w:jc w:val="left"/>
    </w:pPr>
    <w:rPr>
      <w:rFonts w:eastAsia="Times New Roman"/>
      <w:b/>
      <w:szCs w:val="20"/>
      <w:lang w:val="en-CA" w:eastAsia="en-US"/>
    </w:rPr>
  </w:style>
  <w:style w:type="paragraph" w:customStyle="1" w:styleId="PlateHeading">
    <w:name w:val="Plate Heading"/>
    <w:basedOn w:val="Normal"/>
    <w:next w:val="Normal"/>
    <w:rsid w:val="00EA1A35"/>
    <w:pPr>
      <w:spacing w:before="0" w:line="240" w:lineRule="auto"/>
      <w:jc w:val="left"/>
    </w:pPr>
    <w:rPr>
      <w:rFonts w:eastAsia="Times New Roman"/>
      <w:b/>
      <w:szCs w:val="20"/>
      <w:lang w:val="en-CA" w:eastAsia="en-US"/>
    </w:rPr>
  </w:style>
  <w:style w:type="character" w:styleId="PageNumber">
    <w:name w:val="page number"/>
    <w:basedOn w:val="DefaultParagraphFont"/>
    <w:rsid w:val="00EA1A35"/>
  </w:style>
  <w:style w:type="paragraph" w:styleId="TOC1">
    <w:name w:val="toc 1"/>
    <w:basedOn w:val="Normal"/>
    <w:next w:val="Normal"/>
    <w:uiPriority w:val="39"/>
    <w:rsid w:val="00EA1A35"/>
    <w:pPr>
      <w:tabs>
        <w:tab w:val="right" w:leader="dot" w:pos="8640"/>
      </w:tabs>
      <w:spacing w:before="0" w:after="0" w:line="240" w:lineRule="auto"/>
      <w:jc w:val="left"/>
    </w:pPr>
    <w:rPr>
      <w:rFonts w:eastAsia="Times New Roman"/>
      <w:noProof/>
      <w:szCs w:val="20"/>
      <w:lang w:val="en-CA" w:eastAsia="en-US"/>
    </w:rPr>
  </w:style>
  <w:style w:type="paragraph" w:styleId="TOC2">
    <w:name w:val="toc 2"/>
    <w:basedOn w:val="Normal"/>
    <w:next w:val="Normal"/>
    <w:uiPriority w:val="39"/>
    <w:rsid w:val="00EA1A35"/>
    <w:pPr>
      <w:tabs>
        <w:tab w:val="right" w:leader="dot" w:pos="8640"/>
      </w:tabs>
      <w:spacing w:before="240" w:after="0" w:line="240" w:lineRule="auto"/>
      <w:ind w:left="540" w:right="360" w:hanging="540"/>
      <w:jc w:val="left"/>
    </w:pPr>
    <w:rPr>
      <w:rFonts w:ascii="Times New (W1)" w:eastAsia="Times New Roman" w:hAnsi="Times New (W1)"/>
      <w:caps/>
      <w:lang w:val="en-CA" w:eastAsia="en-US"/>
    </w:rPr>
  </w:style>
  <w:style w:type="paragraph" w:styleId="TOC3">
    <w:name w:val="toc 3"/>
    <w:basedOn w:val="Normal"/>
    <w:next w:val="Normal"/>
    <w:uiPriority w:val="39"/>
    <w:rsid w:val="00EA1A35"/>
    <w:pPr>
      <w:tabs>
        <w:tab w:val="right" w:leader="dot" w:pos="8640"/>
      </w:tabs>
      <w:spacing w:before="0" w:after="0" w:line="240" w:lineRule="auto"/>
      <w:ind w:left="720" w:right="360" w:hanging="475"/>
      <w:jc w:val="left"/>
    </w:pPr>
    <w:rPr>
      <w:rFonts w:eastAsia="Times New Roman"/>
      <w:szCs w:val="20"/>
      <w:lang w:val="en-CA" w:eastAsia="en-US"/>
    </w:rPr>
  </w:style>
  <w:style w:type="paragraph" w:styleId="TOC4">
    <w:name w:val="toc 4"/>
    <w:basedOn w:val="Normal"/>
    <w:next w:val="Normal"/>
    <w:uiPriority w:val="39"/>
    <w:rsid w:val="00EA1A35"/>
    <w:pPr>
      <w:tabs>
        <w:tab w:val="right" w:leader="dot" w:pos="8640"/>
      </w:tabs>
      <w:spacing w:before="0" w:after="0" w:line="240" w:lineRule="auto"/>
      <w:ind w:left="1080" w:right="360" w:hanging="515"/>
      <w:jc w:val="left"/>
    </w:pPr>
    <w:rPr>
      <w:rFonts w:eastAsia="Times New Roman"/>
      <w:szCs w:val="20"/>
      <w:lang w:val="en-CA" w:eastAsia="en-US"/>
    </w:rPr>
  </w:style>
  <w:style w:type="paragraph" w:styleId="TOC6">
    <w:name w:val="toc 6"/>
    <w:basedOn w:val="Normal"/>
    <w:next w:val="Normal"/>
    <w:autoRedefine/>
    <w:uiPriority w:val="39"/>
    <w:rsid w:val="00EA1A35"/>
    <w:pPr>
      <w:spacing w:before="0" w:after="0"/>
      <w:ind w:left="1200"/>
      <w:jc w:val="left"/>
    </w:pPr>
    <w:rPr>
      <w:rFonts w:eastAsia="Times New Roman"/>
      <w:szCs w:val="20"/>
      <w:lang w:val="en-CA" w:eastAsia="en-US"/>
    </w:rPr>
  </w:style>
  <w:style w:type="paragraph" w:styleId="TOC7">
    <w:name w:val="toc 7"/>
    <w:basedOn w:val="Normal"/>
    <w:next w:val="Normal"/>
    <w:autoRedefine/>
    <w:uiPriority w:val="39"/>
    <w:rsid w:val="00EA1A35"/>
    <w:pPr>
      <w:spacing w:before="0" w:after="0"/>
      <w:ind w:left="1440"/>
      <w:jc w:val="left"/>
    </w:pPr>
    <w:rPr>
      <w:rFonts w:eastAsia="Times New Roman"/>
      <w:szCs w:val="20"/>
      <w:lang w:val="en-CA" w:eastAsia="en-US"/>
    </w:rPr>
  </w:style>
  <w:style w:type="paragraph" w:styleId="TOC8">
    <w:name w:val="toc 8"/>
    <w:basedOn w:val="Normal"/>
    <w:next w:val="Normal"/>
    <w:autoRedefine/>
    <w:uiPriority w:val="39"/>
    <w:rsid w:val="00EA1A35"/>
    <w:pPr>
      <w:spacing w:before="0" w:after="0"/>
      <w:ind w:left="1680"/>
      <w:jc w:val="left"/>
    </w:pPr>
    <w:rPr>
      <w:rFonts w:eastAsia="Times New Roman"/>
      <w:szCs w:val="20"/>
      <w:lang w:val="en-CA" w:eastAsia="en-US"/>
    </w:rPr>
  </w:style>
  <w:style w:type="paragraph" w:styleId="TOC9">
    <w:name w:val="toc 9"/>
    <w:basedOn w:val="Normal"/>
    <w:next w:val="Normal"/>
    <w:autoRedefine/>
    <w:uiPriority w:val="39"/>
    <w:rsid w:val="00EA1A35"/>
    <w:pPr>
      <w:spacing w:before="0" w:after="0"/>
      <w:ind w:left="1920"/>
      <w:jc w:val="left"/>
    </w:pPr>
    <w:rPr>
      <w:rFonts w:eastAsia="Times New Roman"/>
      <w:szCs w:val="20"/>
      <w:lang w:val="en-CA" w:eastAsia="en-US"/>
    </w:rPr>
  </w:style>
  <w:style w:type="paragraph" w:styleId="FootnoteText">
    <w:name w:val="footnote text"/>
    <w:basedOn w:val="Normal"/>
    <w:link w:val="FootnoteTextChar"/>
    <w:semiHidden/>
    <w:rsid w:val="00EA1A35"/>
    <w:pPr>
      <w:spacing w:before="0" w:after="0" w:line="240" w:lineRule="auto"/>
      <w:jc w:val="left"/>
    </w:pPr>
    <w:rPr>
      <w:rFonts w:eastAsia="Times New Roman"/>
      <w:sz w:val="20"/>
      <w:szCs w:val="20"/>
      <w:lang w:val="en-US" w:eastAsia="en-US"/>
    </w:rPr>
  </w:style>
  <w:style w:type="character" w:customStyle="1" w:styleId="FootnoteTextChar">
    <w:name w:val="Footnote Text Char"/>
    <w:basedOn w:val="DefaultParagraphFont"/>
    <w:link w:val="FootnoteText"/>
    <w:semiHidden/>
    <w:rsid w:val="00EA1A35"/>
    <w:rPr>
      <w:rFonts w:ascii="Times New Roman" w:eastAsia="Times New Roman" w:hAnsi="Times New Roman" w:cs="Times New Roman"/>
      <w:sz w:val="20"/>
      <w:szCs w:val="20"/>
      <w:lang w:val="en-US" w:eastAsia="en-US"/>
    </w:rPr>
  </w:style>
  <w:style w:type="paragraph" w:styleId="TableofFigures">
    <w:name w:val="table of figures"/>
    <w:basedOn w:val="Normal"/>
    <w:next w:val="Normal"/>
    <w:uiPriority w:val="99"/>
    <w:rsid w:val="00EA1A35"/>
    <w:pPr>
      <w:spacing w:before="0" w:after="240" w:line="240" w:lineRule="auto"/>
      <w:ind w:left="475" w:right="360" w:hanging="475"/>
      <w:jc w:val="left"/>
    </w:pPr>
    <w:rPr>
      <w:rFonts w:eastAsia="Times New Roman"/>
      <w:szCs w:val="20"/>
      <w:lang w:val="en-CA" w:eastAsia="en-US"/>
    </w:rPr>
  </w:style>
  <w:style w:type="paragraph" w:customStyle="1" w:styleId="Quotation">
    <w:name w:val="Quotation"/>
    <w:basedOn w:val="Normal"/>
    <w:next w:val="Normal"/>
    <w:rsid w:val="00EA1A35"/>
    <w:pPr>
      <w:spacing w:before="0" w:after="240" w:line="240" w:lineRule="auto"/>
      <w:ind w:left="1440" w:right="1440"/>
      <w:jc w:val="left"/>
    </w:pPr>
    <w:rPr>
      <w:rFonts w:eastAsia="Times New Roman"/>
      <w:szCs w:val="20"/>
      <w:lang w:val="en-CA" w:eastAsia="en-US"/>
    </w:rPr>
  </w:style>
  <w:style w:type="paragraph" w:customStyle="1" w:styleId="frontmatterheadingstyle">
    <w:name w:val="frontmatterheading style"/>
    <w:basedOn w:val="Normal"/>
    <w:rsid w:val="00EA1A35"/>
    <w:pPr>
      <w:spacing w:before="0" w:after="0"/>
      <w:jc w:val="center"/>
    </w:pPr>
    <w:rPr>
      <w:rFonts w:eastAsia="Times New Roman"/>
      <w:b/>
      <w:szCs w:val="20"/>
      <w:lang w:val="en-CA" w:eastAsia="en-US"/>
    </w:rPr>
  </w:style>
  <w:style w:type="paragraph" w:customStyle="1" w:styleId="Paragraph">
    <w:name w:val="Paragraph"/>
    <w:basedOn w:val="Normal"/>
    <w:rsid w:val="00EA1A35"/>
    <w:pPr>
      <w:spacing w:before="0" w:after="0"/>
      <w:ind w:firstLine="720"/>
      <w:jc w:val="left"/>
    </w:pPr>
    <w:rPr>
      <w:rFonts w:eastAsia="Times New Roman"/>
      <w:szCs w:val="20"/>
      <w:lang w:val="en-CA" w:eastAsia="en-US"/>
    </w:rPr>
  </w:style>
  <w:style w:type="paragraph" w:styleId="NormalWeb">
    <w:name w:val="Normal (Web)"/>
    <w:basedOn w:val="Normal"/>
    <w:uiPriority w:val="99"/>
    <w:rsid w:val="00EA1A35"/>
    <w:pPr>
      <w:spacing w:before="100" w:beforeAutospacing="1" w:after="100" w:afterAutospacing="1" w:line="240" w:lineRule="auto"/>
      <w:jc w:val="left"/>
    </w:pPr>
    <w:rPr>
      <w:rFonts w:eastAsia="Batang"/>
      <w:lang w:val="fr-FR" w:eastAsia="fr-FR"/>
    </w:rPr>
  </w:style>
  <w:style w:type="paragraph" w:customStyle="1" w:styleId="ReferenceList">
    <w:name w:val="ReferenceList"/>
    <w:basedOn w:val="frontmatterheadingstyle"/>
    <w:rsid w:val="00EA1A35"/>
  </w:style>
  <w:style w:type="character" w:customStyle="1" w:styleId="StyleItalicAllcaps">
    <w:name w:val="Style Italic All caps"/>
    <w:basedOn w:val="DefaultParagraphFont"/>
    <w:rsid w:val="00EA1A35"/>
    <w:rPr>
      <w:i/>
      <w:iCs/>
    </w:rPr>
  </w:style>
  <w:style w:type="paragraph" w:customStyle="1" w:styleId="StyleItalicAllcapsRightLeft35TopSinglesolidline">
    <w:name w:val="Style Italic All caps Right Left:  3.5&quot; Top: (Single solid line..."/>
    <w:basedOn w:val="Normal"/>
    <w:rsid w:val="00EA1A35"/>
    <w:pPr>
      <w:pBdr>
        <w:top w:val="single" w:sz="4" w:space="1" w:color="auto"/>
      </w:pBdr>
      <w:spacing w:before="0" w:after="0" w:line="240" w:lineRule="auto"/>
      <w:ind w:left="5040"/>
      <w:jc w:val="right"/>
    </w:pPr>
    <w:rPr>
      <w:rFonts w:ascii="Times New (W1)" w:eastAsia="Times New Roman" w:hAnsi="Times New (W1)"/>
      <w:i/>
      <w:iCs/>
      <w:lang w:val="en-CA" w:eastAsia="en-US"/>
    </w:rPr>
  </w:style>
  <w:style w:type="paragraph" w:customStyle="1" w:styleId="FrontmatterHeadingstyle0">
    <w:name w:val="Front matter Heading style"/>
    <w:basedOn w:val="Normal"/>
    <w:next w:val="Normal"/>
    <w:rsid w:val="00EA1A35"/>
    <w:pPr>
      <w:spacing w:before="0" w:after="0"/>
      <w:jc w:val="center"/>
    </w:pPr>
    <w:rPr>
      <w:rFonts w:eastAsia="Times New Roman"/>
      <w:b/>
      <w:szCs w:val="20"/>
      <w:lang w:val="en-CA" w:eastAsia="en-US"/>
    </w:rPr>
  </w:style>
  <w:style w:type="paragraph" w:customStyle="1" w:styleId="ReferenceListHeadingstyle">
    <w:name w:val="Reference List Heading style"/>
    <w:basedOn w:val="FrontmatterHeadingstyle0"/>
    <w:next w:val="Normal"/>
    <w:rsid w:val="00EA1A35"/>
  </w:style>
  <w:style w:type="character" w:styleId="FollowedHyperlink">
    <w:name w:val="FollowedHyperlink"/>
    <w:basedOn w:val="DefaultParagraphFont"/>
    <w:rsid w:val="00EA1A35"/>
    <w:rPr>
      <w:color w:val="800080" w:themeColor="followedHyperlink"/>
      <w:u w:val="single"/>
    </w:rPr>
  </w:style>
  <w:style w:type="paragraph" w:styleId="BalloonText">
    <w:name w:val="Balloon Text"/>
    <w:basedOn w:val="Normal"/>
    <w:link w:val="BalloonTextChar"/>
    <w:uiPriority w:val="99"/>
    <w:rsid w:val="00EA1A35"/>
    <w:pPr>
      <w:spacing w:before="0" w:after="0" w:line="240" w:lineRule="auto"/>
      <w:jc w:val="left"/>
    </w:pPr>
    <w:rPr>
      <w:rFonts w:ascii="Lucida Grande" w:eastAsia="Times New Roman" w:hAnsi="Lucida Grande" w:cs="Lucida Grande"/>
      <w:sz w:val="18"/>
      <w:szCs w:val="18"/>
      <w:lang w:val="en-CA" w:eastAsia="en-US"/>
    </w:rPr>
  </w:style>
  <w:style w:type="character" w:customStyle="1" w:styleId="BalloonTextChar">
    <w:name w:val="Balloon Text Char"/>
    <w:basedOn w:val="DefaultParagraphFont"/>
    <w:link w:val="BalloonText"/>
    <w:uiPriority w:val="99"/>
    <w:rsid w:val="00EA1A35"/>
    <w:rPr>
      <w:rFonts w:ascii="Lucida Grande" w:eastAsia="Times New Roman" w:hAnsi="Lucida Grande" w:cs="Lucida Grande"/>
      <w:sz w:val="18"/>
      <w:szCs w:val="18"/>
      <w:lang w:val="en-CA" w:eastAsia="en-US"/>
    </w:rPr>
  </w:style>
  <w:style w:type="character" w:styleId="Strong">
    <w:name w:val="Strong"/>
    <w:basedOn w:val="DefaultParagraphFont"/>
    <w:qFormat/>
    <w:rsid w:val="00EA1A35"/>
    <w:rPr>
      <w:b/>
      <w:bCs/>
    </w:rPr>
  </w:style>
  <w:style w:type="paragraph" w:customStyle="1" w:styleId="Chapters">
    <w:name w:val="Chapters"/>
    <w:basedOn w:val="Title"/>
    <w:qFormat/>
    <w:rsid w:val="00EA1A35"/>
    <w:pPr>
      <w:numPr>
        <w:numId w:val="4"/>
      </w:numPr>
      <w:pBdr>
        <w:bottom w:val="single" w:sz="8" w:space="4" w:color="4F81BD" w:themeColor="accent1"/>
      </w:pBdr>
      <w:spacing w:before="0" w:after="300" w:line="240" w:lineRule="auto"/>
      <w:contextualSpacing/>
      <w:jc w:val="left"/>
    </w:pPr>
    <w:rPr>
      <w:rFonts w:asciiTheme="majorHAnsi" w:eastAsiaTheme="majorEastAsia" w:hAnsiTheme="majorHAnsi" w:cstheme="majorBidi"/>
      <w:b w:val="0"/>
      <w:color w:val="17365D" w:themeColor="text2" w:themeShade="BF"/>
      <w:spacing w:val="5"/>
      <w:kern w:val="28"/>
      <w:lang w:eastAsia="en-GB"/>
    </w:rPr>
  </w:style>
  <w:style w:type="paragraph" w:customStyle="1" w:styleId="Level1">
    <w:name w:val="Level 1"/>
    <w:basedOn w:val="Heading1"/>
    <w:link w:val="Level1Char"/>
    <w:qFormat/>
    <w:rsid w:val="00EA1A35"/>
    <w:pPr>
      <w:keepLines w:val="0"/>
      <w:spacing w:before="240" w:after="60" w:line="240" w:lineRule="auto"/>
      <w:ind w:left="1004"/>
      <w:jc w:val="left"/>
    </w:pPr>
    <w:rPr>
      <w:rFonts w:ascii="Arial" w:eastAsia="Times New Roman" w:hAnsi="Arial" w:cs="Arial"/>
      <w:kern w:val="32"/>
      <w:sz w:val="32"/>
      <w:szCs w:val="32"/>
      <w:lang w:eastAsia="en-GB"/>
    </w:rPr>
  </w:style>
  <w:style w:type="character" w:customStyle="1" w:styleId="Level1Char">
    <w:name w:val="Level 1 Char"/>
    <w:basedOn w:val="DefaultParagraphFont"/>
    <w:link w:val="Level1"/>
    <w:rsid w:val="00EA1A35"/>
    <w:rPr>
      <w:rFonts w:ascii="Arial" w:eastAsia="Times New Roman" w:hAnsi="Arial" w:cs="Arial"/>
      <w:b/>
      <w:bCs/>
      <w:kern w:val="32"/>
      <w:sz w:val="32"/>
      <w:szCs w:val="32"/>
      <w:lang w:eastAsia="en-GB"/>
    </w:rPr>
  </w:style>
  <w:style w:type="paragraph" w:customStyle="1" w:styleId="Level2">
    <w:name w:val="Level 2"/>
    <w:basedOn w:val="Normal"/>
    <w:link w:val="Level2Char"/>
    <w:qFormat/>
    <w:rsid w:val="00EA1A35"/>
    <w:pPr>
      <w:keepNext/>
      <w:numPr>
        <w:ilvl w:val="2"/>
        <w:numId w:val="5"/>
      </w:numPr>
      <w:spacing w:before="240" w:after="60" w:line="240" w:lineRule="auto"/>
      <w:jc w:val="left"/>
      <w:outlineLvl w:val="1"/>
    </w:pPr>
    <w:rPr>
      <w:rFonts w:ascii="Arial" w:eastAsia="Times New Roman" w:hAnsi="Arial" w:cs="Arial"/>
      <w:b/>
      <w:bCs/>
      <w:i/>
      <w:iCs/>
      <w:sz w:val="28"/>
      <w:szCs w:val="28"/>
      <w:lang w:eastAsia="en-GB"/>
    </w:rPr>
  </w:style>
  <w:style w:type="character" w:customStyle="1" w:styleId="Level2Char">
    <w:name w:val="Level 2 Char"/>
    <w:basedOn w:val="DefaultParagraphFont"/>
    <w:link w:val="Level2"/>
    <w:rsid w:val="00EA1A35"/>
    <w:rPr>
      <w:rFonts w:ascii="Arial" w:eastAsia="Times New Roman" w:hAnsi="Arial" w:cs="Arial"/>
      <w:b/>
      <w:bCs/>
      <w:i/>
      <w:iCs/>
      <w:sz w:val="28"/>
      <w:szCs w:val="28"/>
      <w:lang w:eastAsia="en-GB"/>
    </w:rPr>
  </w:style>
  <w:style w:type="character" w:styleId="BookTitle">
    <w:name w:val="Book Title"/>
    <w:basedOn w:val="DefaultParagraphFont"/>
    <w:uiPriority w:val="33"/>
    <w:qFormat/>
    <w:rsid w:val="00EA1A35"/>
    <w:rPr>
      <w:b/>
      <w:bCs/>
      <w:smallCaps/>
      <w:spacing w:val="5"/>
    </w:rPr>
  </w:style>
  <w:style w:type="character" w:styleId="PlaceholderText">
    <w:name w:val="Placeholder Text"/>
    <w:basedOn w:val="DefaultParagraphFont"/>
    <w:uiPriority w:val="99"/>
    <w:semiHidden/>
    <w:rsid w:val="00EA1A35"/>
    <w:rPr>
      <w:color w:val="808080"/>
    </w:rPr>
  </w:style>
  <w:style w:type="paragraph" w:customStyle="1" w:styleId="TableCaption0">
    <w:name w:val="Table Caption"/>
    <w:basedOn w:val="Caption"/>
    <w:link w:val="TableCaptionChar0"/>
    <w:qFormat/>
    <w:rsid w:val="00B357D7"/>
    <w:pPr>
      <w:keepNext/>
      <w:spacing w:after="0"/>
    </w:pPr>
    <w:rPr>
      <w:rFonts w:eastAsia="Times New Roman"/>
      <w:szCs w:val="20"/>
      <w:lang w:eastAsia="en-US"/>
    </w:rPr>
  </w:style>
  <w:style w:type="paragraph" w:customStyle="1" w:styleId="FigureCaption0">
    <w:name w:val="Figure Caption"/>
    <w:basedOn w:val="Caption"/>
    <w:link w:val="FigureCaptionChar0"/>
    <w:qFormat/>
    <w:rsid w:val="00732BE0"/>
    <w:pPr>
      <w:spacing w:before="0" w:after="360"/>
    </w:pPr>
  </w:style>
  <w:style w:type="character" w:customStyle="1" w:styleId="CaptionChar">
    <w:name w:val="Caption Char"/>
    <w:basedOn w:val="DefaultParagraphFont"/>
    <w:link w:val="Caption"/>
    <w:uiPriority w:val="35"/>
    <w:rsid w:val="00106126"/>
    <w:rPr>
      <w:rFonts w:ascii="Times New Roman" w:hAnsi="Times New Roman" w:cs="Times New Roman"/>
      <w:b/>
      <w:sz w:val="24"/>
      <w:szCs w:val="24"/>
    </w:rPr>
  </w:style>
  <w:style w:type="character" w:customStyle="1" w:styleId="TableCaptionChar0">
    <w:name w:val="Table Caption Char"/>
    <w:basedOn w:val="CaptionChar"/>
    <w:link w:val="TableCaption0"/>
    <w:rsid w:val="00B357D7"/>
    <w:rPr>
      <w:rFonts w:ascii="Times New Roman" w:eastAsia="Times New Roman" w:hAnsi="Times New Roman" w:cs="Times New Roman"/>
      <w:b/>
      <w:sz w:val="24"/>
      <w:szCs w:val="20"/>
      <w:lang w:eastAsia="en-US"/>
    </w:rPr>
  </w:style>
  <w:style w:type="paragraph" w:customStyle="1" w:styleId="Style1">
    <w:name w:val="Style1"/>
    <w:basedOn w:val="FigureCaption0"/>
    <w:link w:val="Style1Char"/>
    <w:qFormat/>
    <w:rsid w:val="00EA1A35"/>
    <w:rPr>
      <w:lang w:val="en-CA"/>
    </w:rPr>
  </w:style>
  <w:style w:type="character" w:customStyle="1" w:styleId="FigureCaptionChar0">
    <w:name w:val="Figure Caption Char"/>
    <w:basedOn w:val="CaptionChar"/>
    <w:link w:val="FigureCaption0"/>
    <w:rsid w:val="00732BE0"/>
    <w:rPr>
      <w:rFonts w:ascii="Times New Roman" w:hAnsi="Times New Roman" w:cs="Times New Roman"/>
      <w:b/>
      <w:sz w:val="24"/>
      <w:szCs w:val="24"/>
    </w:rPr>
  </w:style>
  <w:style w:type="character" w:customStyle="1" w:styleId="Style1Char">
    <w:name w:val="Style1 Char"/>
    <w:basedOn w:val="FigureCaptionChar0"/>
    <w:link w:val="Style1"/>
    <w:rsid w:val="00EA1A35"/>
    <w:rPr>
      <w:rFonts w:ascii="Times New Roman" w:hAnsi="Times New Roman" w:cs="Times New Roman"/>
      <w:b/>
      <w:sz w:val="24"/>
      <w:szCs w:val="24"/>
      <w:lang w:val="en-CA"/>
    </w:rPr>
  </w:style>
  <w:style w:type="character" w:customStyle="1" w:styleId="st">
    <w:name w:val="st"/>
    <w:basedOn w:val="DefaultParagraphFont"/>
    <w:rsid w:val="00EA1A35"/>
  </w:style>
  <w:style w:type="character" w:styleId="CommentReference">
    <w:name w:val="annotation reference"/>
    <w:basedOn w:val="DefaultParagraphFont"/>
    <w:rsid w:val="00EA1A35"/>
    <w:rPr>
      <w:sz w:val="16"/>
      <w:szCs w:val="16"/>
    </w:rPr>
  </w:style>
  <w:style w:type="paragraph" w:styleId="CommentText">
    <w:name w:val="annotation text"/>
    <w:basedOn w:val="Normal"/>
    <w:link w:val="CommentTextChar"/>
    <w:rsid w:val="00EA1A35"/>
    <w:pPr>
      <w:spacing w:before="0" w:after="0" w:line="240" w:lineRule="auto"/>
      <w:jc w:val="left"/>
    </w:pPr>
    <w:rPr>
      <w:rFonts w:eastAsia="Times New Roman"/>
      <w:sz w:val="20"/>
      <w:szCs w:val="20"/>
      <w:lang w:val="en-CA" w:eastAsia="en-US"/>
    </w:rPr>
  </w:style>
  <w:style w:type="character" w:customStyle="1" w:styleId="CommentTextChar">
    <w:name w:val="Comment Text Char"/>
    <w:basedOn w:val="DefaultParagraphFont"/>
    <w:link w:val="CommentText"/>
    <w:rsid w:val="00EA1A35"/>
    <w:rPr>
      <w:rFonts w:ascii="Times New Roman" w:eastAsia="Times New Roman" w:hAnsi="Times New Roman" w:cs="Times New Roman"/>
      <w:sz w:val="20"/>
      <w:szCs w:val="20"/>
      <w:lang w:val="en-CA" w:eastAsia="en-US"/>
    </w:rPr>
  </w:style>
  <w:style w:type="paragraph" w:styleId="CommentSubject">
    <w:name w:val="annotation subject"/>
    <w:basedOn w:val="CommentText"/>
    <w:next w:val="CommentText"/>
    <w:link w:val="CommentSubjectChar"/>
    <w:rsid w:val="00EA1A35"/>
    <w:rPr>
      <w:b/>
      <w:bCs/>
    </w:rPr>
  </w:style>
  <w:style w:type="character" w:customStyle="1" w:styleId="CommentSubjectChar">
    <w:name w:val="Comment Subject Char"/>
    <w:basedOn w:val="CommentTextChar"/>
    <w:link w:val="CommentSubject"/>
    <w:rsid w:val="00EA1A35"/>
    <w:rPr>
      <w:rFonts w:ascii="Times New Roman" w:eastAsia="Times New Roman" w:hAnsi="Times New Roman" w:cs="Times New Roman"/>
      <w:b/>
      <w:bCs/>
      <w:sz w:val="20"/>
      <w:szCs w:val="20"/>
      <w:lang w:val="en-CA" w:eastAsia="en-US"/>
    </w:rPr>
  </w:style>
  <w:style w:type="paragraph" w:styleId="Revision">
    <w:name w:val="Revision"/>
    <w:hidden/>
    <w:uiPriority w:val="99"/>
    <w:semiHidden/>
    <w:rsid w:val="00C6054D"/>
    <w:pPr>
      <w:spacing w:before="0" w:after="0" w:line="240" w:lineRule="auto"/>
      <w:jc w:val="left"/>
    </w:pPr>
    <w:rPr>
      <w:rFonts w:ascii="Times New Roman" w:hAnsi="Times New Roman" w:cs="Times New Roman"/>
      <w:sz w:val="24"/>
      <w:szCs w:val="24"/>
    </w:rPr>
  </w:style>
  <w:style w:type="paragraph" w:customStyle="1" w:styleId="Equationcaption">
    <w:name w:val="Equation caption"/>
    <w:basedOn w:val="FigureCaption0"/>
    <w:link w:val="EquationcaptionChar"/>
    <w:qFormat/>
    <w:rsid w:val="002C08B1"/>
    <w:pPr>
      <w:spacing w:line="240" w:lineRule="auto"/>
      <w:ind w:right="240"/>
      <w:jc w:val="right"/>
    </w:pPr>
  </w:style>
  <w:style w:type="character" w:customStyle="1" w:styleId="EquationcaptionChar">
    <w:name w:val="Equation caption Char"/>
    <w:basedOn w:val="FigureCaptionChar0"/>
    <w:link w:val="Equationcaption"/>
    <w:rsid w:val="002C08B1"/>
    <w:rPr>
      <w:rFonts w:ascii="Times New Roman" w:hAnsi="Times New Roman" w:cs="Times New Roman"/>
      <w:b/>
      <w:sz w:val="24"/>
      <w:szCs w:val="24"/>
    </w:rPr>
  </w:style>
  <w:style w:type="character" w:customStyle="1" w:styleId="FigurecaptionChar">
    <w:name w:val="Figure caption Char"/>
    <w:basedOn w:val="CaptionChar"/>
    <w:link w:val="Figurecaption"/>
    <w:rsid w:val="002758E1"/>
    <w:rPr>
      <w:rFonts w:ascii="Times New Roman" w:hAnsi="Times New Roman" w:cs="Times New Roman"/>
      <w:b/>
      <w:sz w:val="24"/>
      <w:szCs w:val="24"/>
      <w:lang w:val="en-CA"/>
    </w:rPr>
  </w:style>
  <w:style w:type="character" w:styleId="SubtleReference">
    <w:name w:val="Subtle Reference"/>
    <w:uiPriority w:val="31"/>
    <w:rsid w:val="008977B1"/>
  </w:style>
  <w:style w:type="paragraph" w:customStyle="1" w:styleId="Figurestatistics">
    <w:name w:val="Figure statistics"/>
    <w:basedOn w:val="Figurecaption"/>
    <w:link w:val="FigurestatisticsChar"/>
    <w:qFormat/>
    <w:rsid w:val="008977B1"/>
    <w:pPr>
      <w:contextualSpacing/>
    </w:pPr>
    <w:rPr>
      <w:i/>
    </w:rPr>
  </w:style>
  <w:style w:type="character" w:customStyle="1" w:styleId="FigurestatisticsChar">
    <w:name w:val="Figure statistics Char"/>
    <w:basedOn w:val="FigurecaptionChar"/>
    <w:link w:val="Figurestatistics"/>
    <w:rsid w:val="008977B1"/>
    <w:rPr>
      <w:rFonts w:ascii="Times New Roman" w:hAnsi="Times New Roman" w:cs="Times New Roman"/>
      <w:b/>
      <w:i/>
      <w:sz w:val="24"/>
      <w:szCs w:val="24"/>
      <w:lang w:val="en-CA"/>
    </w:rPr>
  </w:style>
  <w:style w:type="paragraph" w:styleId="TOCHeading">
    <w:name w:val="TOC Heading"/>
    <w:basedOn w:val="Heading1"/>
    <w:next w:val="Normal"/>
    <w:uiPriority w:val="39"/>
    <w:unhideWhenUsed/>
    <w:qFormat/>
    <w:rsid w:val="00EA654C"/>
    <w:pPr>
      <w:spacing w:after="0" w:line="276" w:lineRule="auto"/>
      <w:jc w:val="left"/>
      <w:outlineLvl w:val="9"/>
    </w:pPr>
    <w:rPr>
      <w:rFonts w:asciiTheme="majorHAnsi" w:hAnsiTheme="majorHAnsi" w:cstheme="majorBidi"/>
      <w:color w:val="365F91" w:themeColor="accent1" w:themeShade="BF"/>
      <w:lang w:val="en-US" w:eastAsia="en-US"/>
    </w:rPr>
  </w:style>
  <w:style w:type="paragraph" w:styleId="DocumentMap">
    <w:name w:val="Document Map"/>
    <w:basedOn w:val="Normal"/>
    <w:link w:val="DocumentMapChar"/>
    <w:uiPriority w:val="99"/>
    <w:semiHidden/>
    <w:unhideWhenUsed/>
    <w:rsid w:val="00AD7F1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D7F12"/>
    <w:rPr>
      <w:rFonts w:ascii="Tahoma" w:hAnsi="Tahoma" w:cs="Tahoma"/>
      <w:sz w:val="16"/>
      <w:szCs w:val="16"/>
    </w:rPr>
  </w:style>
  <w:style w:type="paragraph" w:customStyle="1" w:styleId="Captionlegend">
    <w:name w:val="Caption legend"/>
    <w:basedOn w:val="FigureCaption0"/>
    <w:link w:val="CaptionlegendChar"/>
    <w:qFormat/>
    <w:rsid w:val="00A84398"/>
  </w:style>
  <w:style w:type="character" w:customStyle="1" w:styleId="CaptionlegendChar">
    <w:name w:val="Caption legend Char"/>
    <w:basedOn w:val="DefaultParagraphFont"/>
    <w:link w:val="Captionlegend"/>
    <w:rsid w:val="00A84398"/>
    <w:rPr>
      <w:rFonts w:ascii="Times New Roman" w:hAnsi="Times New Roman" w:cs="Times New Roman"/>
      <w:b/>
      <w:sz w:val="24"/>
      <w:szCs w:val="24"/>
    </w:rPr>
  </w:style>
  <w:style w:type="paragraph" w:customStyle="1" w:styleId="Appendix">
    <w:name w:val="Appendix"/>
    <w:basedOn w:val="Heading1"/>
    <w:link w:val="AppendixChar"/>
    <w:rsid w:val="000B2745"/>
    <w:pPr>
      <w:ind w:left="999"/>
    </w:pPr>
  </w:style>
  <w:style w:type="character" w:customStyle="1" w:styleId="AppendixChar">
    <w:name w:val="Appendix Char"/>
    <w:basedOn w:val="Heading1Char"/>
    <w:link w:val="Appendix"/>
    <w:rsid w:val="000B2745"/>
    <w:rPr>
      <w:rFonts w:ascii="Times New Roman" w:eastAsiaTheme="majorEastAsia" w:hAnsi="Times New Roman" w:cs="Times New Roman"/>
      <w:b/>
      <w:bCs/>
      <w:sz w:val="28"/>
      <w:szCs w:val="28"/>
    </w:rPr>
  </w:style>
  <w:style w:type="character" w:customStyle="1" w:styleId="apple-converted-space">
    <w:name w:val="apple-converted-space"/>
    <w:basedOn w:val="DefaultParagraphFont"/>
    <w:rsid w:val="003C789B"/>
  </w:style>
  <w:style w:type="paragraph" w:customStyle="1" w:styleId="EndNoteBibliographyTitle">
    <w:name w:val="EndNote Bibliography Title"/>
    <w:basedOn w:val="Normal"/>
    <w:link w:val="EndNoteBibliographyTitleChar"/>
    <w:rsid w:val="00932C08"/>
    <w:pPr>
      <w:spacing w:after="0"/>
      <w:jc w:val="center"/>
    </w:pPr>
    <w:rPr>
      <w:noProof/>
    </w:rPr>
  </w:style>
  <w:style w:type="character" w:customStyle="1" w:styleId="EndNoteBibliographyTitleChar">
    <w:name w:val="EndNote Bibliography Title Char"/>
    <w:basedOn w:val="DefaultParagraphFont"/>
    <w:link w:val="EndNoteBibliographyTitle"/>
    <w:rsid w:val="00932C08"/>
    <w:rPr>
      <w:rFonts w:ascii="Times New Roman" w:hAnsi="Times New Roman" w:cs="Times New Roman"/>
      <w:noProof/>
      <w:sz w:val="24"/>
      <w:szCs w:val="24"/>
    </w:rPr>
  </w:style>
  <w:style w:type="paragraph" w:customStyle="1" w:styleId="EndNoteBibliography">
    <w:name w:val="EndNote Bibliography"/>
    <w:basedOn w:val="Normal"/>
    <w:link w:val="EndNoteBibliographyChar"/>
    <w:rsid w:val="00932C08"/>
    <w:pPr>
      <w:spacing w:line="240" w:lineRule="auto"/>
    </w:pPr>
    <w:rPr>
      <w:noProof/>
    </w:rPr>
  </w:style>
  <w:style w:type="character" w:customStyle="1" w:styleId="EndNoteBibliographyChar">
    <w:name w:val="EndNote Bibliography Char"/>
    <w:basedOn w:val="DefaultParagraphFont"/>
    <w:link w:val="EndNoteBibliography"/>
    <w:rsid w:val="00932C08"/>
    <w:rPr>
      <w:rFonts w:ascii="Times New Roman" w:hAnsi="Times New Roman" w:cs="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33303">
      <w:bodyDiv w:val="1"/>
      <w:marLeft w:val="0"/>
      <w:marRight w:val="0"/>
      <w:marTop w:val="0"/>
      <w:marBottom w:val="0"/>
      <w:divBdr>
        <w:top w:val="none" w:sz="0" w:space="0" w:color="auto"/>
        <w:left w:val="none" w:sz="0" w:space="0" w:color="auto"/>
        <w:bottom w:val="none" w:sz="0" w:space="0" w:color="auto"/>
        <w:right w:val="none" w:sz="0" w:space="0" w:color="auto"/>
      </w:divBdr>
    </w:div>
    <w:div w:id="100688319">
      <w:bodyDiv w:val="1"/>
      <w:marLeft w:val="0"/>
      <w:marRight w:val="0"/>
      <w:marTop w:val="0"/>
      <w:marBottom w:val="0"/>
      <w:divBdr>
        <w:top w:val="none" w:sz="0" w:space="0" w:color="auto"/>
        <w:left w:val="none" w:sz="0" w:space="0" w:color="auto"/>
        <w:bottom w:val="none" w:sz="0" w:space="0" w:color="auto"/>
        <w:right w:val="none" w:sz="0" w:space="0" w:color="auto"/>
      </w:divBdr>
    </w:div>
    <w:div w:id="137649483">
      <w:bodyDiv w:val="1"/>
      <w:marLeft w:val="0"/>
      <w:marRight w:val="0"/>
      <w:marTop w:val="0"/>
      <w:marBottom w:val="0"/>
      <w:divBdr>
        <w:top w:val="none" w:sz="0" w:space="0" w:color="auto"/>
        <w:left w:val="none" w:sz="0" w:space="0" w:color="auto"/>
        <w:bottom w:val="none" w:sz="0" w:space="0" w:color="auto"/>
        <w:right w:val="none" w:sz="0" w:space="0" w:color="auto"/>
      </w:divBdr>
    </w:div>
    <w:div w:id="260072489">
      <w:bodyDiv w:val="1"/>
      <w:marLeft w:val="0"/>
      <w:marRight w:val="0"/>
      <w:marTop w:val="0"/>
      <w:marBottom w:val="0"/>
      <w:divBdr>
        <w:top w:val="none" w:sz="0" w:space="0" w:color="auto"/>
        <w:left w:val="none" w:sz="0" w:space="0" w:color="auto"/>
        <w:bottom w:val="none" w:sz="0" w:space="0" w:color="auto"/>
        <w:right w:val="none" w:sz="0" w:space="0" w:color="auto"/>
      </w:divBdr>
    </w:div>
    <w:div w:id="300116723">
      <w:bodyDiv w:val="1"/>
      <w:marLeft w:val="0"/>
      <w:marRight w:val="0"/>
      <w:marTop w:val="0"/>
      <w:marBottom w:val="0"/>
      <w:divBdr>
        <w:top w:val="none" w:sz="0" w:space="0" w:color="auto"/>
        <w:left w:val="none" w:sz="0" w:space="0" w:color="auto"/>
        <w:bottom w:val="none" w:sz="0" w:space="0" w:color="auto"/>
        <w:right w:val="none" w:sz="0" w:space="0" w:color="auto"/>
      </w:divBdr>
    </w:div>
    <w:div w:id="309597766">
      <w:bodyDiv w:val="1"/>
      <w:marLeft w:val="0"/>
      <w:marRight w:val="0"/>
      <w:marTop w:val="0"/>
      <w:marBottom w:val="0"/>
      <w:divBdr>
        <w:top w:val="none" w:sz="0" w:space="0" w:color="auto"/>
        <w:left w:val="none" w:sz="0" w:space="0" w:color="auto"/>
        <w:bottom w:val="none" w:sz="0" w:space="0" w:color="auto"/>
        <w:right w:val="none" w:sz="0" w:space="0" w:color="auto"/>
      </w:divBdr>
    </w:div>
    <w:div w:id="375743410">
      <w:bodyDiv w:val="1"/>
      <w:marLeft w:val="0"/>
      <w:marRight w:val="0"/>
      <w:marTop w:val="0"/>
      <w:marBottom w:val="0"/>
      <w:divBdr>
        <w:top w:val="none" w:sz="0" w:space="0" w:color="auto"/>
        <w:left w:val="none" w:sz="0" w:space="0" w:color="auto"/>
        <w:bottom w:val="none" w:sz="0" w:space="0" w:color="auto"/>
        <w:right w:val="none" w:sz="0" w:space="0" w:color="auto"/>
      </w:divBdr>
    </w:div>
    <w:div w:id="383716268">
      <w:bodyDiv w:val="1"/>
      <w:marLeft w:val="0"/>
      <w:marRight w:val="0"/>
      <w:marTop w:val="0"/>
      <w:marBottom w:val="0"/>
      <w:divBdr>
        <w:top w:val="none" w:sz="0" w:space="0" w:color="auto"/>
        <w:left w:val="none" w:sz="0" w:space="0" w:color="auto"/>
        <w:bottom w:val="none" w:sz="0" w:space="0" w:color="auto"/>
        <w:right w:val="none" w:sz="0" w:space="0" w:color="auto"/>
      </w:divBdr>
    </w:div>
    <w:div w:id="435562725">
      <w:bodyDiv w:val="1"/>
      <w:marLeft w:val="0"/>
      <w:marRight w:val="0"/>
      <w:marTop w:val="0"/>
      <w:marBottom w:val="0"/>
      <w:divBdr>
        <w:top w:val="none" w:sz="0" w:space="0" w:color="auto"/>
        <w:left w:val="none" w:sz="0" w:space="0" w:color="auto"/>
        <w:bottom w:val="none" w:sz="0" w:space="0" w:color="auto"/>
        <w:right w:val="none" w:sz="0" w:space="0" w:color="auto"/>
      </w:divBdr>
    </w:div>
    <w:div w:id="437678401">
      <w:bodyDiv w:val="1"/>
      <w:marLeft w:val="0"/>
      <w:marRight w:val="0"/>
      <w:marTop w:val="0"/>
      <w:marBottom w:val="0"/>
      <w:divBdr>
        <w:top w:val="none" w:sz="0" w:space="0" w:color="auto"/>
        <w:left w:val="none" w:sz="0" w:space="0" w:color="auto"/>
        <w:bottom w:val="none" w:sz="0" w:space="0" w:color="auto"/>
        <w:right w:val="none" w:sz="0" w:space="0" w:color="auto"/>
      </w:divBdr>
      <w:divsChild>
        <w:div w:id="591357972">
          <w:marLeft w:val="1166"/>
          <w:marRight w:val="0"/>
          <w:marTop w:val="86"/>
          <w:marBottom w:val="0"/>
          <w:divBdr>
            <w:top w:val="none" w:sz="0" w:space="0" w:color="auto"/>
            <w:left w:val="none" w:sz="0" w:space="0" w:color="auto"/>
            <w:bottom w:val="none" w:sz="0" w:space="0" w:color="auto"/>
            <w:right w:val="none" w:sz="0" w:space="0" w:color="auto"/>
          </w:divBdr>
        </w:div>
        <w:div w:id="1674600552">
          <w:marLeft w:val="1166"/>
          <w:marRight w:val="0"/>
          <w:marTop w:val="86"/>
          <w:marBottom w:val="0"/>
          <w:divBdr>
            <w:top w:val="none" w:sz="0" w:space="0" w:color="auto"/>
            <w:left w:val="none" w:sz="0" w:space="0" w:color="auto"/>
            <w:bottom w:val="none" w:sz="0" w:space="0" w:color="auto"/>
            <w:right w:val="none" w:sz="0" w:space="0" w:color="auto"/>
          </w:divBdr>
        </w:div>
      </w:divsChild>
    </w:div>
    <w:div w:id="444235278">
      <w:bodyDiv w:val="1"/>
      <w:marLeft w:val="0"/>
      <w:marRight w:val="0"/>
      <w:marTop w:val="0"/>
      <w:marBottom w:val="0"/>
      <w:divBdr>
        <w:top w:val="none" w:sz="0" w:space="0" w:color="auto"/>
        <w:left w:val="none" w:sz="0" w:space="0" w:color="auto"/>
        <w:bottom w:val="none" w:sz="0" w:space="0" w:color="auto"/>
        <w:right w:val="none" w:sz="0" w:space="0" w:color="auto"/>
      </w:divBdr>
    </w:div>
    <w:div w:id="445317305">
      <w:bodyDiv w:val="1"/>
      <w:marLeft w:val="0"/>
      <w:marRight w:val="0"/>
      <w:marTop w:val="0"/>
      <w:marBottom w:val="0"/>
      <w:divBdr>
        <w:top w:val="none" w:sz="0" w:space="0" w:color="auto"/>
        <w:left w:val="none" w:sz="0" w:space="0" w:color="auto"/>
        <w:bottom w:val="none" w:sz="0" w:space="0" w:color="auto"/>
        <w:right w:val="none" w:sz="0" w:space="0" w:color="auto"/>
      </w:divBdr>
    </w:div>
    <w:div w:id="445466891">
      <w:bodyDiv w:val="1"/>
      <w:marLeft w:val="0"/>
      <w:marRight w:val="0"/>
      <w:marTop w:val="0"/>
      <w:marBottom w:val="0"/>
      <w:divBdr>
        <w:top w:val="none" w:sz="0" w:space="0" w:color="auto"/>
        <w:left w:val="none" w:sz="0" w:space="0" w:color="auto"/>
        <w:bottom w:val="none" w:sz="0" w:space="0" w:color="auto"/>
        <w:right w:val="none" w:sz="0" w:space="0" w:color="auto"/>
      </w:divBdr>
    </w:div>
    <w:div w:id="502626888">
      <w:bodyDiv w:val="1"/>
      <w:marLeft w:val="0"/>
      <w:marRight w:val="0"/>
      <w:marTop w:val="0"/>
      <w:marBottom w:val="0"/>
      <w:divBdr>
        <w:top w:val="none" w:sz="0" w:space="0" w:color="auto"/>
        <w:left w:val="none" w:sz="0" w:space="0" w:color="auto"/>
        <w:bottom w:val="none" w:sz="0" w:space="0" w:color="auto"/>
        <w:right w:val="none" w:sz="0" w:space="0" w:color="auto"/>
      </w:divBdr>
    </w:div>
    <w:div w:id="527258540">
      <w:bodyDiv w:val="1"/>
      <w:marLeft w:val="0"/>
      <w:marRight w:val="0"/>
      <w:marTop w:val="0"/>
      <w:marBottom w:val="0"/>
      <w:divBdr>
        <w:top w:val="none" w:sz="0" w:space="0" w:color="auto"/>
        <w:left w:val="none" w:sz="0" w:space="0" w:color="auto"/>
        <w:bottom w:val="none" w:sz="0" w:space="0" w:color="auto"/>
        <w:right w:val="none" w:sz="0" w:space="0" w:color="auto"/>
      </w:divBdr>
    </w:div>
    <w:div w:id="543097215">
      <w:bodyDiv w:val="1"/>
      <w:marLeft w:val="0"/>
      <w:marRight w:val="0"/>
      <w:marTop w:val="0"/>
      <w:marBottom w:val="0"/>
      <w:divBdr>
        <w:top w:val="none" w:sz="0" w:space="0" w:color="auto"/>
        <w:left w:val="none" w:sz="0" w:space="0" w:color="auto"/>
        <w:bottom w:val="none" w:sz="0" w:space="0" w:color="auto"/>
        <w:right w:val="none" w:sz="0" w:space="0" w:color="auto"/>
      </w:divBdr>
    </w:div>
    <w:div w:id="548885846">
      <w:bodyDiv w:val="1"/>
      <w:marLeft w:val="0"/>
      <w:marRight w:val="0"/>
      <w:marTop w:val="0"/>
      <w:marBottom w:val="0"/>
      <w:divBdr>
        <w:top w:val="none" w:sz="0" w:space="0" w:color="auto"/>
        <w:left w:val="none" w:sz="0" w:space="0" w:color="auto"/>
        <w:bottom w:val="none" w:sz="0" w:space="0" w:color="auto"/>
        <w:right w:val="none" w:sz="0" w:space="0" w:color="auto"/>
      </w:divBdr>
    </w:div>
    <w:div w:id="581065822">
      <w:bodyDiv w:val="1"/>
      <w:marLeft w:val="0"/>
      <w:marRight w:val="0"/>
      <w:marTop w:val="0"/>
      <w:marBottom w:val="0"/>
      <w:divBdr>
        <w:top w:val="none" w:sz="0" w:space="0" w:color="auto"/>
        <w:left w:val="none" w:sz="0" w:space="0" w:color="auto"/>
        <w:bottom w:val="none" w:sz="0" w:space="0" w:color="auto"/>
        <w:right w:val="none" w:sz="0" w:space="0" w:color="auto"/>
      </w:divBdr>
    </w:div>
    <w:div w:id="615867888">
      <w:bodyDiv w:val="1"/>
      <w:marLeft w:val="0"/>
      <w:marRight w:val="0"/>
      <w:marTop w:val="0"/>
      <w:marBottom w:val="0"/>
      <w:divBdr>
        <w:top w:val="none" w:sz="0" w:space="0" w:color="auto"/>
        <w:left w:val="none" w:sz="0" w:space="0" w:color="auto"/>
        <w:bottom w:val="none" w:sz="0" w:space="0" w:color="auto"/>
        <w:right w:val="none" w:sz="0" w:space="0" w:color="auto"/>
      </w:divBdr>
    </w:div>
    <w:div w:id="643698796">
      <w:bodyDiv w:val="1"/>
      <w:marLeft w:val="0"/>
      <w:marRight w:val="0"/>
      <w:marTop w:val="0"/>
      <w:marBottom w:val="0"/>
      <w:divBdr>
        <w:top w:val="none" w:sz="0" w:space="0" w:color="auto"/>
        <w:left w:val="none" w:sz="0" w:space="0" w:color="auto"/>
        <w:bottom w:val="none" w:sz="0" w:space="0" w:color="auto"/>
        <w:right w:val="none" w:sz="0" w:space="0" w:color="auto"/>
      </w:divBdr>
    </w:div>
    <w:div w:id="645353964">
      <w:bodyDiv w:val="1"/>
      <w:marLeft w:val="0"/>
      <w:marRight w:val="0"/>
      <w:marTop w:val="0"/>
      <w:marBottom w:val="0"/>
      <w:divBdr>
        <w:top w:val="none" w:sz="0" w:space="0" w:color="auto"/>
        <w:left w:val="none" w:sz="0" w:space="0" w:color="auto"/>
        <w:bottom w:val="none" w:sz="0" w:space="0" w:color="auto"/>
        <w:right w:val="none" w:sz="0" w:space="0" w:color="auto"/>
      </w:divBdr>
    </w:div>
    <w:div w:id="687945119">
      <w:bodyDiv w:val="1"/>
      <w:marLeft w:val="0"/>
      <w:marRight w:val="0"/>
      <w:marTop w:val="0"/>
      <w:marBottom w:val="0"/>
      <w:divBdr>
        <w:top w:val="none" w:sz="0" w:space="0" w:color="auto"/>
        <w:left w:val="none" w:sz="0" w:space="0" w:color="auto"/>
        <w:bottom w:val="none" w:sz="0" w:space="0" w:color="auto"/>
        <w:right w:val="none" w:sz="0" w:space="0" w:color="auto"/>
      </w:divBdr>
    </w:div>
    <w:div w:id="691880342">
      <w:bodyDiv w:val="1"/>
      <w:marLeft w:val="0"/>
      <w:marRight w:val="0"/>
      <w:marTop w:val="0"/>
      <w:marBottom w:val="0"/>
      <w:divBdr>
        <w:top w:val="none" w:sz="0" w:space="0" w:color="auto"/>
        <w:left w:val="none" w:sz="0" w:space="0" w:color="auto"/>
        <w:bottom w:val="none" w:sz="0" w:space="0" w:color="auto"/>
        <w:right w:val="none" w:sz="0" w:space="0" w:color="auto"/>
      </w:divBdr>
    </w:div>
    <w:div w:id="748966793">
      <w:bodyDiv w:val="1"/>
      <w:marLeft w:val="0"/>
      <w:marRight w:val="0"/>
      <w:marTop w:val="0"/>
      <w:marBottom w:val="0"/>
      <w:divBdr>
        <w:top w:val="none" w:sz="0" w:space="0" w:color="auto"/>
        <w:left w:val="none" w:sz="0" w:space="0" w:color="auto"/>
        <w:bottom w:val="none" w:sz="0" w:space="0" w:color="auto"/>
        <w:right w:val="none" w:sz="0" w:space="0" w:color="auto"/>
      </w:divBdr>
    </w:div>
    <w:div w:id="782042503">
      <w:bodyDiv w:val="1"/>
      <w:marLeft w:val="0"/>
      <w:marRight w:val="0"/>
      <w:marTop w:val="0"/>
      <w:marBottom w:val="0"/>
      <w:divBdr>
        <w:top w:val="none" w:sz="0" w:space="0" w:color="auto"/>
        <w:left w:val="none" w:sz="0" w:space="0" w:color="auto"/>
        <w:bottom w:val="none" w:sz="0" w:space="0" w:color="auto"/>
        <w:right w:val="none" w:sz="0" w:space="0" w:color="auto"/>
      </w:divBdr>
    </w:div>
    <w:div w:id="834615884">
      <w:bodyDiv w:val="1"/>
      <w:marLeft w:val="0"/>
      <w:marRight w:val="0"/>
      <w:marTop w:val="0"/>
      <w:marBottom w:val="0"/>
      <w:divBdr>
        <w:top w:val="none" w:sz="0" w:space="0" w:color="auto"/>
        <w:left w:val="none" w:sz="0" w:space="0" w:color="auto"/>
        <w:bottom w:val="none" w:sz="0" w:space="0" w:color="auto"/>
        <w:right w:val="none" w:sz="0" w:space="0" w:color="auto"/>
      </w:divBdr>
    </w:div>
    <w:div w:id="892500117">
      <w:bodyDiv w:val="1"/>
      <w:marLeft w:val="0"/>
      <w:marRight w:val="0"/>
      <w:marTop w:val="0"/>
      <w:marBottom w:val="0"/>
      <w:divBdr>
        <w:top w:val="none" w:sz="0" w:space="0" w:color="auto"/>
        <w:left w:val="none" w:sz="0" w:space="0" w:color="auto"/>
        <w:bottom w:val="none" w:sz="0" w:space="0" w:color="auto"/>
        <w:right w:val="none" w:sz="0" w:space="0" w:color="auto"/>
      </w:divBdr>
    </w:div>
    <w:div w:id="1035885227">
      <w:bodyDiv w:val="1"/>
      <w:marLeft w:val="0"/>
      <w:marRight w:val="0"/>
      <w:marTop w:val="0"/>
      <w:marBottom w:val="0"/>
      <w:divBdr>
        <w:top w:val="none" w:sz="0" w:space="0" w:color="auto"/>
        <w:left w:val="none" w:sz="0" w:space="0" w:color="auto"/>
        <w:bottom w:val="none" w:sz="0" w:space="0" w:color="auto"/>
        <w:right w:val="none" w:sz="0" w:space="0" w:color="auto"/>
      </w:divBdr>
    </w:div>
    <w:div w:id="1070929582">
      <w:bodyDiv w:val="1"/>
      <w:marLeft w:val="0"/>
      <w:marRight w:val="0"/>
      <w:marTop w:val="0"/>
      <w:marBottom w:val="0"/>
      <w:divBdr>
        <w:top w:val="none" w:sz="0" w:space="0" w:color="auto"/>
        <w:left w:val="none" w:sz="0" w:space="0" w:color="auto"/>
        <w:bottom w:val="none" w:sz="0" w:space="0" w:color="auto"/>
        <w:right w:val="none" w:sz="0" w:space="0" w:color="auto"/>
      </w:divBdr>
    </w:div>
    <w:div w:id="1200901448">
      <w:bodyDiv w:val="1"/>
      <w:marLeft w:val="0"/>
      <w:marRight w:val="0"/>
      <w:marTop w:val="0"/>
      <w:marBottom w:val="0"/>
      <w:divBdr>
        <w:top w:val="none" w:sz="0" w:space="0" w:color="auto"/>
        <w:left w:val="none" w:sz="0" w:space="0" w:color="auto"/>
        <w:bottom w:val="none" w:sz="0" w:space="0" w:color="auto"/>
        <w:right w:val="none" w:sz="0" w:space="0" w:color="auto"/>
      </w:divBdr>
    </w:div>
    <w:div w:id="1210071320">
      <w:bodyDiv w:val="1"/>
      <w:marLeft w:val="0"/>
      <w:marRight w:val="0"/>
      <w:marTop w:val="0"/>
      <w:marBottom w:val="0"/>
      <w:divBdr>
        <w:top w:val="none" w:sz="0" w:space="0" w:color="auto"/>
        <w:left w:val="none" w:sz="0" w:space="0" w:color="auto"/>
        <w:bottom w:val="none" w:sz="0" w:space="0" w:color="auto"/>
        <w:right w:val="none" w:sz="0" w:space="0" w:color="auto"/>
      </w:divBdr>
    </w:div>
    <w:div w:id="1215462557">
      <w:bodyDiv w:val="1"/>
      <w:marLeft w:val="0"/>
      <w:marRight w:val="0"/>
      <w:marTop w:val="0"/>
      <w:marBottom w:val="0"/>
      <w:divBdr>
        <w:top w:val="none" w:sz="0" w:space="0" w:color="auto"/>
        <w:left w:val="none" w:sz="0" w:space="0" w:color="auto"/>
        <w:bottom w:val="none" w:sz="0" w:space="0" w:color="auto"/>
        <w:right w:val="none" w:sz="0" w:space="0" w:color="auto"/>
      </w:divBdr>
    </w:div>
    <w:div w:id="1292664546">
      <w:bodyDiv w:val="1"/>
      <w:marLeft w:val="0"/>
      <w:marRight w:val="0"/>
      <w:marTop w:val="0"/>
      <w:marBottom w:val="0"/>
      <w:divBdr>
        <w:top w:val="none" w:sz="0" w:space="0" w:color="auto"/>
        <w:left w:val="none" w:sz="0" w:space="0" w:color="auto"/>
        <w:bottom w:val="none" w:sz="0" w:space="0" w:color="auto"/>
        <w:right w:val="none" w:sz="0" w:space="0" w:color="auto"/>
      </w:divBdr>
    </w:div>
    <w:div w:id="1295792276">
      <w:bodyDiv w:val="1"/>
      <w:marLeft w:val="0"/>
      <w:marRight w:val="0"/>
      <w:marTop w:val="0"/>
      <w:marBottom w:val="0"/>
      <w:divBdr>
        <w:top w:val="none" w:sz="0" w:space="0" w:color="auto"/>
        <w:left w:val="none" w:sz="0" w:space="0" w:color="auto"/>
        <w:bottom w:val="none" w:sz="0" w:space="0" w:color="auto"/>
        <w:right w:val="none" w:sz="0" w:space="0" w:color="auto"/>
      </w:divBdr>
    </w:div>
    <w:div w:id="1330521350">
      <w:bodyDiv w:val="1"/>
      <w:marLeft w:val="0"/>
      <w:marRight w:val="0"/>
      <w:marTop w:val="0"/>
      <w:marBottom w:val="0"/>
      <w:divBdr>
        <w:top w:val="none" w:sz="0" w:space="0" w:color="auto"/>
        <w:left w:val="none" w:sz="0" w:space="0" w:color="auto"/>
        <w:bottom w:val="none" w:sz="0" w:space="0" w:color="auto"/>
        <w:right w:val="none" w:sz="0" w:space="0" w:color="auto"/>
      </w:divBdr>
    </w:div>
    <w:div w:id="1363244078">
      <w:bodyDiv w:val="1"/>
      <w:marLeft w:val="0"/>
      <w:marRight w:val="0"/>
      <w:marTop w:val="0"/>
      <w:marBottom w:val="0"/>
      <w:divBdr>
        <w:top w:val="none" w:sz="0" w:space="0" w:color="auto"/>
        <w:left w:val="none" w:sz="0" w:space="0" w:color="auto"/>
        <w:bottom w:val="none" w:sz="0" w:space="0" w:color="auto"/>
        <w:right w:val="none" w:sz="0" w:space="0" w:color="auto"/>
      </w:divBdr>
    </w:div>
    <w:div w:id="1427845309">
      <w:bodyDiv w:val="1"/>
      <w:marLeft w:val="0"/>
      <w:marRight w:val="0"/>
      <w:marTop w:val="0"/>
      <w:marBottom w:val="0"/>
      <w:divBdr>
        <w:top w:val="none" w:sz="0" w:space="0" w:color="auto"/>
        <w:left w:val="none" w:sz="0" w:space="0" w:color="auto"/>
        <w:bottom w:val="none" w:sz="0" w:space="0" w:color="auto"/>
        <w:right w:val="none" w:sz="0" w:space="0" w:color="auto"/>
      </w:divBdr>
    </w:div>
    <w:div w:id="1480732363">
      <w:bodyDiv w:val="1"/>
      <w:marLeft w:val="0"/>
      <w:marRight w:val="0"/>
      <w:marTop w:val="0"/>
      <w:marBottom w:val="0"/>
      <w:divBdr>
        <w:top w:val="none" w:sz="0" w:space="0" w:color="auto"/>
        <w:left w:val="none" w:sz="0" w:space="0" w:color="auto"/>
        <w:bottom w:val="none" w:sz="0" w:space="0" w:color="auto"/>
        <w:right w:val="none" w:sz="0" w:space="0" w:color="auto"/>
      </w:divBdr>
    </w:div>
    <w:div w:id="1622414737">
      <w:bodyDiv w:val="1"/>
      <w:marLeft w:val="0"/>
      <w:marRight w:val="0"/>
      <w:marTop w:val="0"/>
      <w:marBottom w:val="0"/>
      <w:divBdr>
        <w:top w:val="none" w:sz="0" w:space="0" w:color="auto"/>
        <w:left w:val="none" w:sz="0" w:space="0" w:color="auto"/>
        <w:bottom w:val="none" w:sz="0" w:space="0" w:color="auto"/>
        <w:right w:val="none" w:sz="0" w:space="0" w:color="auto"/>
      </w:divBdr>
    </w:div>
    <w:div w:id="1671373787">
      <w:bodyDiv w:val="1"/>
      <w:marLeft w:val="0"/>
      <w:marRight w:val="0"/>
      <w:marTop w:val="0"/>
      <w:marBottom w:val="0"/>
      <w:divBdr>
        <w:top w:val="none" w:sz="0" w:space="0" w:color="auto"/>
        <w:left w:val="none" w:sz="0" w:space="0" w:color="auto"/>
        <w:bottom w:val="none" w:sz="0" w:space="0" w:color="auto"/>
        <w:right w:val="none" w:sz="0" w:space="0" w:color="auto"/>
      </w:divBdr>
    </w:div>
    <w:div w:id="1701008066">
      <w:bodyDiv w:val="1"/>
      <w:marLeft w:val="0"/>
      <w:marRight w:val="0"/>
      <w:marTop w:val="0"/>
      <w:marBottom w:val="0"/>
      <w:divBdr>
        <w:top w:val="none" w:sz="0" w:space="0" w:color="auto"/>
        <w:left w:val="none" w:sz="0" w:space="0" w:color="auto"/>
        <w:bottom w:val="none" w:sz="0" w:space="0" w:color="auto"/>
        <w:right w:val="none" w:sz="0" w:space="0" w:color="auto"/>
      </w:divBdr>
    </w:div>
    <w:div w:id="1739016563">
      <w:bodyDiv w:val="1"/>
      <w:marLeft w:val="0"/>
      <w:marRight w:val="0"/>
      <w:marTop w:val="0"/>
      <w:marBottom w:val="0"/>
      <w:divBdr>
        <w:top w:val="none" w:sz="0" w:space="0" w:color="auto"/>
        <w:left w:val="none" w:sz="0" w:space="0" w:color="auto"/>
        <w:bottom w:val="none" w:sz="0" w:space="0" w:color="auto"/>
        <w:right w:val="none" w:sz="0" w:space="0" w:color="auto"/>
      </w:divBdr>
    </w:div>
    <w:div w:id="1747799609">
      <w:bodyDiv w:val="1"/>
      <w:marLeft w:val="0"/>
      <w:marRight w:val="0"/>
      <w:marTop w:val="0"/>
      <w:marBottom w:val="0"/>
      <w:divBdr>
        <w:top w:val="none" w:sz="0" w:space="0" w:color="auto"/>
        <w:left w:val="none" w:sz="0" w:space="0" w:color="auto"/>
        <w:bottom w:val="none" w:sz="0" w:space="0" w:color="auto"/>
        <w:right w:val="none" w:sz="0" w:space="0" w:color="auto"/>
      </w:divBdr>
    </w:div>
    <w:div w:id="1808742870">
      <w:bodyDiv w:val="1"/>
      <w:marLeft w:val="0"/>
      <w:marRight w:val="0"/>
      <w:marTop w:val="0"/>
      <w:marBottom w:val="0"/>
      <w:divBdr>
        <w:top w:val="none" w:sz="0" w:space="0" w:color="auto"/>
        <w:left w:val="none" w:sz="0" w:space="0" w:color="auto"/>
        <w:bottom w:val="none" w:sz="0" w:space="0" w:color="auto"/>
        <w:right w:val="none" w:sz="0" w:space="0" w:color="auto"/>
      </w:divBdr>
    </w:div>
    <w:div w:id="1843278250">
      <w:bodyDiv w:val="1"/>
      <w:marLeft w:val="0"/>
      <w:marRight w:val="0"/>
      <w:marTop w:val="0"/>
      <w:marBottom w:val="0"/>
      <w:divBdr>
        <w:top w:val="none" w:sz="0" w:space="0" w:color="auto"/>
        <w:left w:val="none" w:sz="0" w:space="0" w:color="auto"/>
        <w:bottom w:val="none" w:sz="0" w:space="0" w:color="auto"/>
        <w:right w:val="none" w:sz="0" w:space="0" w:color="auto"/>
      </w:divBdr>
    </w:div>
    <w:div w:id="1920402503">
      <w:bodyDiv w:val="1"/>
      <w:marLeft w:val="0"/>
      <w:marRight w:val="0"/>
      <w:marTop w:val="0"/>
      <w:marBottom w:val="0"/>
      <w:divBdr>
        <w:top w:val="none" w:sz="0" w:space="0" w:color="auto"/>
        <w:left w:val="none" w:sz="0" w:space="0" w:color="auto"/>
        <w:bottom w:val="none" w:sz="0" w:space="0" w:color="auto"/>
        <w:right w:val="none" w:sz="0" w:space="0" w:color="auto"/>
      </w:divBdr>
    </w:div>
    <w:div w:id="2009017785">
      <w:bodyDiv w:val="1"/>
      <w:marLeft w:val="0"/>
      <w:marRight w:val="0"/>
      <w:marTop w:val="0"/>
      <w:marBottom w:val="0"/>
      <w:divBdr>
        <w:top w:val="none" w:sz="0" w:space="0" w:color="auto"/>
        <w:left w:val="none" w:sz="0" w:space="0" w:color="auto"/>
        <w:bottom w:val="none" w:sz="0" w:space="0" w:color="auto"/>
        <w:right w:val="none" w:sz="0" w:space="0" w:color="auto"/>
      </w:divBdr>
    </w:div>
    <w:div w:id="2013753207">
      <w:bodyDiv w:val="1"/>
      <w:marLeft w:val="0"/>
      <w:marRight w:val="0"/>
      <w:marTop w:val="0"/>
      <w:marBottom w:val="0"/>
      <w:divBdr>
        <w:top w:val="none" w:sz="0" w:space="0" w:color="auto"/>
        <w:left w:val="none" w:sz="0" w:space="0" w:color="auto"/>
        <w:bottom w:val="none" w:sz="0" w:space="0" w:color="auto"/>
        <w:right w:val="none" w:sz="0" w:space="0" w:color="auto"/>
      </w:divBdr>
    </w:div>
    <w:div w:id="2021155493">
      <w:bodyDiv w:val="1"/>
      <w:marLeft w:val="0"/>
      <w:marRight w:val="0"/>
      <w:marTop w:val="0"/>
      <w:marBottom w:val="0"/>
      <w:divBdr>
        <w:top w:val="none" w:sz="0" w:space="0" w:color="auto"/>
        <w:left w:val="none" w:sz="0" w:space="0" w:color="auto"/>
        <w:bottom w:val="none" w:sz="0" w:space="0" w:color="auto"/>
        <w:right w:val="none" w:sz="0" w:space="0" w:color="auto"/>
      </w:divBdr>
    </w:div>
    <w:div w:id="2029870535">
      <w:bodyDiv w:val="1"/>
      <w:marLeft w:val="0"/>
      <w:marRight w:val="0"/>
      <w:marTop w:val="0"/>
      <w:marBottom w:val="0"/>
      <w:divBdr>
        <w:top w:val="none" w:sz="0" w:space="0" w:color="auto"/>
        <w:left w:val="none" w:sz="0" w:space="0" w:color="auto"/>
        <w:bottom w:val="none" w:sz="0" w:space="0" w:color="auto"/>
        <w:right w:val="none" w:sz="0" w:space="0" w:color="auto"/>
      </w:divBdr>
    </w:div>
    <w:div w:id="2039968740">
      <w:bodyDiv w:val="1"/>
      <w:marLeft w:val="0"/>
      <w:marRight w:val="0"/>
      <w:marTop w:val="0"/>
      <w:marBottom w:val="0"/>
      <w:divBdr>
        <w:top w:val="none" w:sz="0" w:space="0" w:color="auto"/>
        <w:left w:val="none" w:sz="0" w:space="0" w:color="auto"/>
        <w:bottom w:val="none" w:sz="0" w:space="0" w:color="auto"/>
        <w:right w:val="none" w:sz="0" w:space="0" w:color="auto"/>
      </w:divBdr>
    </w:div>
    <w:div w:id="2048749741">
      <w:bodyDiv w:val="1"/>
      <w:marLeft w:val="0"/>
      <w:marRight w:val="0"/>
      <w:marTop w:val="0"/>
      <w:marBottom w:val="0"/>
      <w:divBdr>
        <w:top w:val="none" w:sz="0" w:space="0" w:color="auto"/>
        <w:left w:val="none" w:sz="0" w:space="0" w:color="auto"/>
        <w:bottom w:val="none" w:sz="0" w:space="0" w:color="auto"/>
        <w:right w:val="none" w:sz="0" w:space="0" w:color="auto"/>
      </w:divBdr>
    </w:div>
    <w:div w:id="2093162072">
      <w:bodyDiv w:val="1"/>
      <w:marLeft w:val="0"/>
      <w:marRight w:val="0"/>
      <w:marTop w:val="0"/>
      <w:marBottom w:val="0"/>
      <w:divBdr>
        <w:top w:val="none" w:sz="0" w:space="0" w:color="auto"/>
        <w:left w:val="none" w:sz="0" w:space="0" w:color="auto"/>
        <w:bottom w:val="none" w:sz="0" w:space="0" w:color="auto"/>
        <w:right w:val="none" w:sz="0" w:space="0" w:color="auto"/>
      </w:divBdr>
    </w:div>
    <w:div w:id="2100833817">
      <w:bodyDiv w:val="1"/>
      <w:marLeft w:val="0"/>
      <w:marRight w:val="0"/>
      <w:marTop w:val="0"/>
      <w:marBottom w:val="0"/>
      <w:divBdr>
        <w:top w:val="none" w:sz="0" w:space="0" w:color="auto"/>
        <w:left w:val="none" w:sz="0" w:space="0" w:color="auto"/>
        <w:bottom w:val="none" w:sz="0" w:space="0" w:color="auto"/>
        <w:right w:val="none" w:sz="0" w:space="0" w:color="auto"/>
      </w:divBdr>
    </w:div>
    <w:div w:id="2115128365">
      <w:bodyDiv w:val="1"/>
      <w:marLeft w:val="0"/>
      <w:marRight w:val="0"/>
      <w:marTop w:val="0"/>
      <w:marBottom w:val="0"/>
      <w:divBdr>
        <w:top w:val="none" w:sz="0" w:space="0" w:color="auto"/>
        <w:left w:val="none" w:sz="0" w:space="0" w:color="auto"/>
        <w:bottom w:val="none" w:sz="0" w:space="0" w:color="auto"/>
        <w:right w:val="none" w:sz="0" w:space="0" w:color="auto"/>
      </w:divBdr>
      <w:divsChild>
        <w:div w:id="1106577016">
          <w:marLeft w:val="547"/>
          <w:marRight w:val="0"/>
          <w:marTop w:val="0"/>
          <w:marBottom w:val="240"/>
          <w:divBdr>
            <w:top w:val="none" w:sz="0" w:space="0" w:color="auto"/>
            <w:left w:val="none" w:sz="0" w:space="0" w:color="auto"/>
            <w:bottom w:val="none" w:sz="0" w:space="0" w:color="auto"/>
            <w:right w:val="none" w:sz="0" w:space="0" w:color="auto"/>
          </w:divBdr>
        </w:div>
        <w:div w:id="1316304288">
          <w:marLeft w:val="547"/>
          <w:marRight w:val="0"/>
          <w:marTop w:val="0"/>
          <w:marBottom w:val="240"/>
          <w:divBdr>
            <w:top w:val="none" w:sz="0" w:space="0" w:color="auto"/>
            <w:left w:val="none" w:sz="0" w:space="0" w:color="auto"/>
            <w:bottom w:val="none" w:sz="0" w:space="0" w:color="auto"/>
            <w:right w:val="none" w:sz="0" w:space="0" w:color="auto"/>
          </w:divBdr>
        </w:div>
        <w:div w:id="4525320">
          <w:marLeft w:val="547"/>
          <w:marRight w:val="0"/>
          <w:marTop w:val="0"/>
          <w:marBottom w:val="240"/>
          <w:divBdr>
            <w:top w:val="none" w:sz="0" w:space="0" w:color="auto"/>
            <w:left w:val="none" w:sz="0" w:space="0" w:color="auto"/>
            <w:bottom w:val="none" w:sz="0" w:space="0" w:color="auto"/>
            <w:right w:val="none" w:sz="0" w:space="0" w:color="auto"/>
          </w:divBdr>
        </w:div>
        <w:div w:id="1145317740">
          <w:marLeft w:val="547"/>
          <w:marRight w:val="0"/>
          <w:marTop w:val="0"/>
          <w:marBottom w:val="240"/>
          <w:divBdr>
            <w:top w:val="none" w:sz="0" w:space="0" w:color="auto"/>
            <w:left w:val="none" w:sz="0" w:space="0" w:color="auto"/>
            <w:bottom w:val="none" w:sz="0" w:space="0" w:color="auto"/>
            <w:right w:val="none" w:sz="0" w:space="0" w:color="auto"/>
          </w:divBdr>
        </w:div>
        <w:div w:id="1820459401">
          <w:marLeft w:val="547"/>
          <w:marRight w:val="0"/>
          <w:marTop w:val="0"/>
          <w:marBottom w:val="240"/>
          <w:divBdr>
            <w:top w:val="none" w:sz="0" w:space="0" w:color="auto"/>
            <w:left w:val="none" w:sz="0" w:space="0" w:color="auto"/>
            <w:bottom w:val="none" w:sz="0" w:space="0" w:color="auto"/>
            <w:right w:val="none" w:sz="0" w:space="0" w:color="auto"/>
          </w:divBdr>
        </w:div>
      </w:divsChild>
    </w:div>
    <w:div w:id="2118869835">
      <w:bodyDiv w:val="1"/>
      <w:marLeft w:val="0"/>
      <w:marRight w:val="0"/>
      <w:marTop w:val="0"/>
      <w:marBottom w:val="0"/>
      <w:divBdr>
        <w:top w:val="none" w:sz="0" w:space="0" w:color="auto"/>
        <w:left w:val="none" w:sz="0" w:space="0" w:color="auto"/>
        <w:bottom w:val="none" w:sz="0" w:space="0" w:color="auto"/>
        <w:right w:val="none" w:sz="0" w:space="0" w:color="auto"/>
      </w:divBdr>
    </w:div>
    <w:div w:id="2126266483">
      <w:bodyDiv w:val="1"/>
      <w:marLeft w:val="0"/>
      <w:marRight w:val="0"/>
      <w:marTop w:val="0"/>
      <w:marBottom w:val="0"/>
      <w:divBdr>
        <w:top w:val="none" w:sz="0" w:space="0" w:color="auto"/>
        <w:left w:val="none" w:sz="0" w:space="0" w:color="auto"/>
        <w:bottom w:val="none" w:sz="0" w:space="0" w:color="auto"/>
        <w:right w:val="none" w:sz="0" w:space="0" w:color="auto"/>
      </w:divBdr>
    </w:div>
    <w:div w:id="213394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745CF-4C23-4B76-9161-939E1E0F7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Pages>
  <Words>2192</Words>
  <Characters>12497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University of Brighton</Company>
  <LinksUpToDate>false</LinksUpToDate>
  <CharactersWithSpaces>14660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Yishan Zheng</dc:creator>
  <cp:lastModifiedBy>Susan Sandeman</cp:lastModifiedBy>
  <cp:revision>27</cp:revision>
  <cp:lastPrinted>2012-09-06T10:26:00Z</cp:lastPrinted>
  <dcterms:created xsi:type="dcterms:W3CDTF">2014-10-22T13:31:00Z</dcterms:created>
  <dcterms:modified xsi:type="dcterms:W3CDTF">2021-02-22T10:17:00Z</dcterms:modified>
</cp:coreProperties>
</file>